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EFC25" w14:textId="77777777" w:rsidR="009737A8" w:rsidRDefault="009737A8" w:rsidP="009737A8">
      <w:pPr>
        <w:jc w:val="center"/>
        <w:rPr>
          <w:rFonts w:ascii="Times New Roman" w:hAnsi="Times New Roman"/>
          <w:b/>
          <w:sz w:val="28"/>
          <w:szCs w:val="28"/>
        </w:rPr>
      </w:pPr>
      <w:r w:rsidRPr="00126257">
        <w:rPr>
          <w:rFonts w:ascii="Times New Roman" w:hAnsi="Times New Roman"/>
          <w:b/>
          <w:sz w:val="28"/>
          <w:szCs w:val="28"/>
        </w:rPr>
        <w:t>RIGHTS OF VICTIMS IN THE CRIMINAL CONTEXT</w:t>
      </w:r>
    </w:p>
    <w:p w14:paraId="791F480B" w14:textId="77777777" w:rsidR="009737A8" w:rsidRDefault="009737A8" w:rsidP="009737A8">
      <w:pPr>
        <w:jc w:val="center"/>
        <w:rPr>
          <w:rFonts w:ascii="Times New Roman" w:hAnsi="Times New Roman"/>
          <w:b/>
          <w:sz w:val="28"/>
          <w:szCs w:val="28"/>
        </w:rPr>
      </w:pPr>
    </w:p>
    <w:p w14:paraId="7A7C17DE" w14:textId="4E5179C3" w:rsidR="009737A8" w:rsidRPr="00A27E98" w:rsidRDefault="00851C81" w:rsidP="009737A8">
      <w:pPr>
        <w:jc w:val="center"/>
        <w:rPr>
          <w:rFonts w:ascii="Times New Roman" w:hAnsi="Times New Roman"/>
        </w:rPr>
      </w:pPr>
      <w:r>
        <w:rPr>
          <w:rFonts w:ascii="Times New Roman" w:hAnsi="Times New Roman"/>
          <w:b/>
        </w:rPr>
        <w:t>Jeremy Krahn &amp;</w:t>
      </w:r>
      <w:r w:rsidR="00542A95">
        <w:rPr>
          <w:rFonts w:ascii="Times New Roman" w:hAnsi="Times New Roman"/>
          <w:b/>
        </w:rPr>
        <w:t xml:space="preserve"> </w:t>
      </w:r>
      <w:r w:rsidR="009737A8" w:rsidRPr="00A27E98">
        <w:rPr>
          <w:rFonts w:ascii="Times New Roman" w:hAnsi="Times New Roman"/>
          <w:b/>
        </w:rPr>
        <w:t>N. Chethana Perera</w:t>
      </w:r>
      <w:r>
        <w:rPr>
          <w:rFonts w:ascii="Times New Roman" w:hAnsi="Times New Roman"/>
          <w:b/>
        </w:rPr>
        <w:t>, with</w:t>
      </w:r>
      <w:bookmarkStart w:id="0" w:name="_GoBack"/>
      <w:bookmarkEnd w:id="0"/>
      <w:r w:rsidR="009737A8" w:rsidRPr="00A27E98">
        <w:rPr>
          <w:rFonts w:ascii="Times New Roman" w:hAnsi="Times New Roman"/>
          <w:b/>
        </w:rPr>
        <w:t xml:space="preserve"> </w:t>
      </w:r>
      <w:r w:rsidR="00542A95">
        <w:rPr>
          <w:rFonts w:ascii="Times New Roman" w:hAnsi="Times New Roman"/>
          <w:b/>
        </w:rPr>
        <w:t>John Sonsteng</w:t>
      </w:r>
    </w:p>
    <w:p w14:paraId="05AC8661" w14:textId="77777777" w:rsidR="009737A8" w:rsidRPr="00126257" w:rsidRDefault="009737A8" w:rsidP="009737A8">
      <w:pPr>
        <w:jc w:val="center"/>
        <w:rPr>
          <w:rFonts w:ascii="Times New Roman" w:hAnsi="Times New Roman"/>
          <w:b/>
          <w:u w:val="single"/>
        </w:rPr>
      </w:pP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14:paraId="46ABEBEA" w14:textId="77777777" w:rsidR="009737A8" w:rsidRDefault="009737A8" w:rsidP="009737A8">
      <w:pPr>
        <w:spacing w:line="480" w:lineRule="auto"/>
        <w:rPr>
          <w:rFonts w:ascii="Times New Roman" w:hAnsi="Times New Roman"/>
        </w:rPr>
      </w:pPr>
    </w:p>
    <w:p w14:paraId="4C863E15" w14:textId="77777777" w:rsidR="009737A8" w:rsidRPr="00005FC0" w:rsidRDefault="009737A8" w:rsidP="009737A8">
      <w:pPr>
        <w:spacing w:line="480" w:lineRule="auto"/>
        <w:ind w:firstLine="720"/>
        <w:rPr>
          <w:rFonts w:ascii="Times New Roman" w:hAnsi="Times New Roman"/>
        </w:rPr>
      </w:pPr>
      <w:r w:rsidRPr="00005FC0">
        <w:rPr>
          <w:rFonts w:ascii="Times New Roman" w:hAnsi="Times New Roman"/>
        </w:rPr>
        <w:t xml:space="preserve">Criminal defendants have enjoyed numerous rights since the establishment of the United States. </w:t>
      </w:r>
      <w:r w:rsidRPr="00005FC0">
        <w:rPr>
          <w:rFonts w:ascii="Times New Roman" w:hAnsi="Times New Roman"/>
        </w:rPr>
        <w:tab/>
        <w:t>Indeed, the Constitution—the bedrock of the American legal system—expressly details a criminal defendant’s rights.</w:t>
      </w:r>
      <w:r w:rsidRPr="00005FC0">
        <w:rPr>
          <w:rStyle w:val="EndnoteReference"/>
          <w:rFonts w:ascii="Times New Roman" w:hAnsi="Times New Roman"/>
        </w:rPr>
        <w:endnoteReference w:id="1"/>
      </w:r>
      <w:r w:rsidRPr="00005FC0">
        <w:rPr>
          <w:rFonts w:ascii="Times New Roman" w:hAnsi="Times New Roman"/>
        </w:rPr>
        <w:t xml:space="preserve"> Yet a victim—the person who suffers the consequences of a crime—has no express rights in the Constitution. </w:t>
      </w:r>
    </w:p>
    <w:p w14:paraId="55088FCF" w14:textId="5A958187" w:rsidR="009737A8" w:rsidRPr="00005FC0" w:rsidRDefault="009737A8" w:rsidP="009737A8">
      <w:pPr>
        <w:spacing w:line="480" w:lineRule="auto"/>
        <w:rPr>
          <w:rFonts w:ascii="Times New Roman" w:hAnsi="Times New Roman"/>
        </w:rPr>
      </w:pPr>
      <w:r w:rsidRPr="00005FC0">
        <w:rPr>
          <w:rFonts w:ascii="Times New Roman" w:hAnsi="Times New Roman"/>
        </w:rPr>
        <w:tab/>
        <w:t>Historically, our government saw victims as a means to an end: the victim served to help establish a defendant’s criminal liability.</w:t>
      </w:r>
      <w:r w:rsidRPr="00005FC0">
        <w:rPr>
          <w:rStyle w:val="EndnoteReference"/>
          <w:rFonts w:ascii="Times New Roman" w:hAnsi="Times New Roman"/>
        </w:rPr>
        <w:endnoteReference w:id="2"/>
      </w:r>
      <w:r w:rsidRPr="00005FC0">
        <w:rPr>
          <w:rFonts w:ascii="Times New Roman" w:hAnsi="Times New Roman"/>
        </w:rPr>
        <w:t xml:space="preserve"> But in the 1970s, victims’ rights </w:t>
      </w:r>
      <w:r w:rsidR="001A0F99">
        <w:rPr>
          <w:rFonts w:ascii="Times New Roman" w:hAnsi="Times New Roman"/>
        </w:rPr>
        <w:t>advocates</w:t>
      </w:r>
      <w:r w:rsidRPr="00005FC0">
        <w:rPr>
          <w:rFonts w:ascii="Times New Roman" w:hAnsi="Times New Roman"/>
        </w:rPr>
        <w:t xml:space="preserve"> demanded that the government pay attention to the impact of a crime on a victim’s life.</w:t>
      </w:r>
      <w:r w:rsidRPr="00005FC0">
        <w:rPr>
          <w:rStyle w:val="EndnoteReference"/>
          <w:rFonts w:ascii="Times New Roman" w:hAnsi="Times New Roman"/>
        </w:rPr>
        <w:endnoteReference w:id="3"/>
      </w:r>
      <w:r w:rsidRPr="00005FC0">
        <w:rPr>
          <w:rFonts w:ascii="Times New Roman" w:hAnsi="Times New Roman"/>
        </w:rPr>
        <w:t xml:space="preserve"> By 1981, the President of the United States had joined this national movement.</w:t>
      </w:r>
      <w:r w:rsidRPr="00005FC0">
        <w:rPr>
          <w:rStyle w:val="EndnoteReference"/>
          <w:rFonts w:ascii="Times New Roman" w:hAnsi="Times New Roman"/>
        </w:rPr>
        <w:endnoteReference w:id="4"/>
      </w:r>
      <w:r w:rsidRPr="00005FC0">
        <w:rPr>
          <w:rFonts w:ascii="Times New Roman" w:hAnsi="Times New Roman"/>
        </w:rPr>
        <w:t xml:space="preserve"> President Reagan’s Task Force on Victims of Crime in 1982 described the plight of crime victims in the criminal justice system. The task force found that victims’ “pleas for justice have gone unheeded, and their wounds—personal, emotional, and financial—have gone unattended.”</w:t>
      </w:r>
      <w:r w:rsidRPr="00005FC0">
        <w:rPr>
          <w:rStyle w:val="EndnoteReference"/>
          <w:rFonts w:ascii="Times New Roman" w:hAnsi="Times New Roman"/>
        </w:rPr>
        <w:endnoteReference w:id="5"/>
      </w:r>
      <w:r w:rsidRPr="00005FC0">
        <w:rPr>
          <w:rFonts w:ascii="Times New Roman" w:hAnsi="Times New Roman"/>
        </w:rPr>
        <w:t xml:space="preserve"> The report emphasized that “sustained efforts of federal, state and local governments, combined with the resources of the private sector” were required to “restore the balance to the criminal justice system.”</w:t>
      </w:r>
      <w:r w:rsidRPr="00005FC0">
        <w:rPr>
          <w:rStyle w:val="EndnoteReference"/>
          <w:rFonts w:ascii="Times New Roman" w:hAnsi="Times New Roman"/>
        </w:rPr>
        <w:endnoteReference w:id="6"/>
      </w:r>
      <w:r w:rsidRPr="00005FC0">
        <w:rPr>
          <w:rFonts w:ascii="Times New Roman" w:hAnsi="Times New Roman"/>
        </w:rPr>
        <w:t xml:space="preserve"> </w:t>
      </w:r>
    </w:p>
    <w:p w14:paraId="428C0501" w14:textId="33DA4F18" w:rsidR="009737A8" w:rsidRDefault="009737A8" w:rsidP="009737A8">
      <w:pPr>
        <w:spacing w:line="480" w:lineRule="auto"/>
        <w:rPr>
          <w:rFonts w:ascii="Times New Roman" w:hAnsi="Times New Roman"/>
        </w:rPr>
      </w:pPr>
      <w:r w:rsidRPr="00005FC0">
        <w:rPr>
          <w:rFonts w:ascii="Times New Roman" w:hAnsi="Times New Roman"/>
        </w:rPr>
        <w:tab/>
        <w:t xml:space="preserve">The United States has come a long way since the 1980s. Instead of merely recognizing a crime victim’s plight, our government is now actively working to establish a victim’s rights in our legal system. This monogram briefly covers victims’ rights in the United States in the following phases: (1) pretrial; (2) trial; and (3) post trial. There are few federal pretrial rights and resources, but individual states have stepped in and implemented certain legal structures. </w:t>
      </w:r>
      <w:r w:rsidR="001B6D9E">
        <w:rPr>
          <w:rFonts w:ascii="Times New Roman" w:hAnsi="Times New Roman"/>
        </w:rPr>
        <w:t>Conversely</w:t>
      </w:r>
      <w:r w:rsidR="00360469">
        <w:rPr>
          <w:rFonts w:ascii="Times New Roman" w:hAnsi="Times New Roman"/>
        </w:rPr>
        <w:t>, the United States</w:t>
      </w:r>
      <w:r w:rsidRPr="00005FC0">
        <w:rPr>
          <w:rFonts w:ascii="Times New Roman" w:hAnsi="Times New Roman"/>
        </w:rPr>
        <w:t xml:space="preserve"> government has </w:t>
      </w:r>
      <w:r w:rsidRPr="00005FC0">
        <w:rPr>
          <w:rFonts w:ascii="Times New Roman" w:hAnsi="Times New Roman"/>
        </w:rPr>
        <w:lastRenderedPageBreak/>
        <w:t>actively pursued victims’ rights during the trial phase at a federal level through the Criminal Victims Protection Act and amendments to the Federal Laws of Criminal Procedure. In the post-trial phase, the United States attempts to protect and compensate the victim on both a federa</w:t>
      </w:r>
      <w:r w:rsidR="001B6D9E">
        <w:rPr>
          <w:rFonts w:ascii="Times New Roman" w:hAnsi="Times New Roman"/>
        </w:rPr>
        <w:t xml:space="preserve">l and state level. These rights, collectively, </w:t>
      </w:r>
      <w:r w:rsidRPr="00005FC0">
        <w:rPr>
          <w:rFonts w:ascii="Times New Roman" w:hAnsi="Times New Roman"/>
        </w:rPr>
        <w:t>paint a picture</w:t>
      </w:r>
      <w:r w:rsidR="00360469">
        <w:rPr>
          <w:rFonts w:ascii="Times New Roman" w:hAnsi="Times New Roman"/>
        </w:rPr>
        <w:t xml:space="preserve"> of victims’ rights in the United States.</w:t>
      </w:r>
    </w:p>
    <w:p w14:paraId="06EA5F08" w14:textId="77777777" w:rsidR="009737A8" w:rsidRPr="00005FC0" w:rsidRDefault="009737A8" w:rsidP="009737A8">
      <w:pPr>
        <w:spacing w:line="480" w:lineRule="auto"/>
        <w:rPr>
          <w:rFonts w:ascii="Times New Roman" w:hAnsi="Times New Roman"/>
        </w:rPr>
      </w:pPr>
    </w:p>
    <w:p w14:paraId="10A8D2EE" w14:textId="77777777" w:rsidR="009737A8" w:rsidRPr="004E2EC4" w:rsidRDefault="009737A8" w:rsidP="009737A8">
      <w:pPr>
        <w:spacing w:line="480" w:lineRule="auto"/>
        <w:jc w:val="center"/>
        <w:rPr>
          <w:rFonts w:ascii="Times New Roman" w:hAnsi="Times New Roman"/>
          <w:b/>
          <w:u w:val="single"/>
        </w:rPr>
      </w:pPr>
      <w:r w:rsidRPr="004E2EC4">
        <w:rPr>
          <w:rFonts w:ascii="Times New Roman" w:hAnsi="Times New Roman"/>
          <w:b/>
          <w:u w:val="single"/>
        </w:rPr>
        <w:t>Pretrial Rights and Resources for Victims</w:t>
      </w:r>
    </w:p>
    <w:p w14:paraId="37B0A697" w14:textId="2DAFE8E4" w:rsidR="009737A8" w:rsidRPr="00005FC0" w:rsidRDefault="009737A8" w:rsidP="009737A8">
      <w:pPr>
        <w:spacing w:line="480" w:lineRule="auto"/>
        <w:rPr>
          <w:rFonts w:ascii="Times New Roman" w:hAnsi="Times New Roman"/>
        </w:rPr>
      </w:pPr>
      <w:r w:rsidRPr="00005FC0">
        <w:rPr>
          <w:rFonts w:ascii="Times New Roman" w:hAnsi="Times New Roman"/>
        </w:rPr>
        <w:tab/>
        <w:t>In the past decade, growing momentum for greater justice in the pretrial phase has resulted in increased rights and resources for victims.</w:t>
      </w:r>
      <w:r w:rsidR="00AE7054">
        <w:rPr>
          <w:rFonts w:ascii="Times New Roman" w:hAnsi="Times New Roman"/>
        </w:rPr>
        <w:t xml:space="preserve"> In this phase, c</w:t>
      </w:r>
      <w:r w:rsidRPr="00005FC0">
        <w:rPr>
          <w:rFonts w:ascii="Times New Roman" w:hAnsi="Times New Roman"/>
        </w:rPr>
        <w:t>hange tends to happen on a state-by-state leve</w:t>
      </w:r>
      <w:r w:rsidR="00AE7054">
        <w:rPr>
          <w:rFonts w:ascii="Times New Roman" w:hAnsi="Times New Roman"/>
        </w:rPr>
        <w:t xml:space="preserve">l, rather than a federal level. </w:t>
      </w:r>
      <w:r w:rsidRPr="00005FC0">
        <w:rPr>
          <w:rFonts w:ascii="Times New Roman" w:hAnsi="Times New Roman"/>
        </w:rPr>
        <w:t xml:space="preserve">A few examples include:  </w:t>
      </w:r>
    </w:p>
    <w:p w14:paraId="017D1479" w14:textId="275EB1B4" w:rsidR="006B00C4" w:rsidRPr="006B00C4" w:rsidRDefault="009737A8" w:rsidP="006B00C4">
      <w:pPr>
        <w:pStyle w:val="ListParagraph"/>
        <w:numPr>
          <w:ilvl w:val="0"/>
          <w:numId w:val="5"/>
        </w:numPr>
        <w:spacing w:line="480" w:lineRule="auto"/>
        <w:ind w:right="360"/>
        <w:rPr>
          <w:rFonts w:ascii="Times New Roman" w:hAnsi="Times New Roman"/>
        </w:rPr>
      </w:pPr>
      <w:r w:rsidRPr="006B00C4">
        <w:rPr>
          <w:rFonts w:ascii="Times New Roman" w:hAnsi="Times New Roman"/>
        </w:rPr>
        <w:t xml:space="preserve">Connecticut requires family court violent intervention units to monitor </w:t>
      </w:r>
      <w:r w:rsidR="006B00C4" w:rsidRPr="006B00C4">
        <w:rPr>
          <w:rFonts w:ascii="Times New Roman" w:hAnsi="Times New Roman"/>
        </w:rPr>
        <w:t>compliance of</w:t>
      </w:r>
      <w:r w:rsidR="00AE4460">
        <w:rPr>
          <w:rFonts w:ascii="Times New Roman" w:hAnsi="Times New Roman"/>
        </w:rPr>
        <w:t xml:space="preserve"> a defendant</w:t>
      </w:r>
      <w:r w:rsidR="006B00C4" w:rsidRPr="006B00C4">
        <w:rPr>
          <w:rFonts w:ascii="Times New Roman" w:hAnsi="Times New Roman"/>
        </w:rPr>
        <w:t xml:space="preserve"> participating in pretrial family violence education programs,</w:t>
      </w:r>
      <w:r w:rsidR="006B00C4" w:rsidRPr="00005FC0">
        <w:rPr>
          <w:rStyle w:val="EndnoteReference"/>
          <w:rFonts w:ascii="Times New Roman" w:hAnsi="Times New Roman"/>
        </w:rPr>
        <w:endnoteReference w:id="7"/>
      </w:r>
      <w:r w:rsidR="006B00C4" w:rsidRPr="006B00C4">
        <w:rPr>
          <w:rFonts w:ascii="Times New Roman" w:hAnsi="Times New Roman"/>
        </w:rPr>
        <w:t xml:space="preserve"> </w:t>
      </w:r>
    </w:p>
    <w:p w14:paraId="0450D7B5" w14:textId="6E568A05" w:rsidR="006B00C4" w:rsidRDefault="006B00C4" w:rsidP="006B00C4">
      <w:pPr>
        <w:pStyle w:val="ListParagraph"/>
        <w:numPr>
          <w:ilvl w:val="0"/>
          <w:numId w:val="5"/>
        </w:numPr>
        <w:spacing w:line="480" w:lineRule="auto"/>
        <w:ind w:right="360"/>
        <w:rPr>
          <w:rFonts w:ascii="Times New Roman" w:hAnsi="Times New Roman"/>
        </w:rPr>
      </w:pPr>
      <w:r w:rsidRPr="00005FC0">
        <w:rPr>
          <w:rFonts w:ascii="Times New Roman" w:hAnsi="Times New Roman"/>
        </w:rPr>
        <w:t>Louisiana denies a defendant the ability to be released on recognizance if the defendant was previously released on recognizance for a felony charge and consequently failed to appear for a court date,</w:t>
      </w:r>
      <w:r w:rsidRPr="00005FC0">
        <w:rPr>
          <w:rStyle w:val="EndnoteReference"/>
          <w:rFonts w:ascii="Times New Roman" w:hAnsi="Times New Roman"/>
        </w:rPr>
        <w:endnoteReference w:id="8"/>
      </w:r>
    </w:p>
    <w:p w14:paraId="5EB30BCD" w14:textId="14644298" w:rsidR="006B00C4" w:rsidRDefault="006B00C4" w:rsidP="006B00C4">
      <w:pPr>
        <w:pStyle w:val="ListParagraph"/>
        <w:numPr>
          <w:ilvl w:val="0"/>
          <w:numId w:val="5"/>
        </w:numPr>
        <w:spacing w:line="480" w:lineRule="auto"/>
        <w:ind w:right="360"/>
        <w:rPr>
          <w:rFonts w:ascii="Times New Roman" w:hAnsi="Times New Roman"/>
        </w:rPr>
      </w:pPr>
      <w:r w:rsidRPr="00005FC0">
        <w:rPr>
          <w:rFonts w:ascii="Times New Roman" w:hAnsi="Times New Roman"/>
        </w:rPr>
        <w:t>Maine notifies a victim of domestic violence of a defendant’s release from jail, and issues a protection order as soon as possible,</w:t>
      </w:r>
      <w:r w:rsidRPr="00005FC0">
        <w:rPr>
          <w:rStyle w:val="EndnoteReference"/>
          <w:rFonts w:ascii="Times New Roman" w:hAnsi="Times New Roman"/>
        </w:rPr>
        <w:endnoteReference w:id="9"/>
      </w:r>
    </w:p>
    <w:p w14:paraId="686A57EA" w14:textId="1EFA06E2" w:rsidR="006B00C4" w:rsidRDefault="006B00C4" w:rsidP="006B00C4">
      <w:pPr>
        <w:pStyle w:val="ListParagraph"/>
        <w:numPr>
          <w:ilvl w:val="0"/>
          <w:numId w:val="5"/>
        </w:numPr>
        <w:spacing w:line="480" w:lineRule="auto"/>
        <w:ind w:right="360"/>
        <w:rPr>
          <w:rFonts w:ascii="Times New Roman" w:hAnsi="Times New Roman"/>
        </w:rPr>
      </w:pPr>
      <w:r w:rsidRPr="00005FC0">
        <w:rPr>
          <w:rFonts w:ascii="Times New Roman" w:hAnsi="Times New Roman"/>
        </w:rPr>
        <w:t>Twenty-four states require notice to the victim of a defendant’s pretrial release hearing and forty-one states require notice when a defendant is released before trial;</w:t>
      </w:r>
      <w:r w:rsidRPr="00005FC0">
        <w:rPr>
          <w:rStyle w:val="EndnoteReference"/>
          <w:rFonts w:ascii="Times New Roman" w:hAnsi="Times New Roman"/>
        </w:rPr>
        <w:endnoteReference w:id="10"/>
      </w:r>
      <w:r w:rsidRPr="00005FC0">
        <w:rPr>
          <w:rFonts w:ascii="Times New Roman" w:hAnsi="Times New Roman"/>
        </w:rPr>
        <w:t xml:space="preserve"> and</w:t>
      </w:r>
    </w:p>
    <w:p w14:paraId="252AF9E1" w14:textId="2EC96C7A" w:rsidR="009737A8" w:rsidRPr="006B00C4" w:rsidRDefault="006B00C4" w:rsidP="006B00C4">
      <w:pPr>
        <w:pStyle w:val="ListParagraph"/>
        <w:numPr>
          <w:ilvl w:val="0"/>
          <w:numId w:val="5"/>
        </w:numPr>
        <w:spacing w:line="480" w:lineRule="auto"/>
        <w:ind w:right="360"/>
        <w:rPr>
          <w:rFonts w:ascii="Times New Roman" w:hAnsi="Times New Roman"/>
        </w:rPr>
      </w:pPr>
      <w:r w:rsidRPr="00005FC0">
        <w:rPr>
          <w:rFonts w:ascii="Times New Roman" w:hAnsi="Times New Roman"/>
        </w:rPr>
        <w:t>Eighteen states allow victims to participate in the pretrial hearings, while fourteen states allow victims to be heard or consulted.</w:t>
      </w:r>
      <w:r w:rsidRPr="00005FC0">
        <w:rPr>
          <w:rStyle w:val="EndnoteReference"/>
          <w:rFonts w:ascii="Times New Roman" w:hAnsi="Times New Roman"/>
        </w:rPr>
        <w:endnoteReference w:id="11"/>
      </w:r>
    </w:p>
    <w:p w14:paraId="7CC0EBE6" w14:textId="176B8599" w:rsidR="009737A8" w:rsidRDefault="009737A8" w:rsidP="009737A8">
      <w:pPr>
        <w:spacing w:line="480" w:lineRule="auto"/>
        <w:rPr>
          <w:rFonts w:ascii="Times New Roman" w:hAnsi="Times New Roman"/>
        </w:rPr>
      </w:pPr>
      <w:r w:rsidRPr="00005FC0">
        <w:rPr>
          <w:rFonts w:ascii="Times New Roman" w:hAnsi="Times New Roman"/>
        </w:rPr>
        <w:lastRenderedPageBreak/>
        <w:tab/>
        <w:t>There are many other examples of states working internally to create a safer, and more responsible</w:t>
      </w:r>
      <w:r w:rsidR="00AE4460">
        <w:rPr>
          <w:rFonts w:ascii="Times New Roman" w:hAnsi="Times New Roman"/>
        </w:rPr>
        <w:t>,</w:t>
      </w:r>
      <w:r w:rsidRPr="00005FC0">
        <w:rPr>
          <w:rFonts w:ascii="Times New Roman" w:hAnsi="Times New Roman"/>
        </w:rPr>
        <w:t xml:space="preserve"> legal structure for victims. Private organizations and non-profits have also joined this movement, and are instrumental in prov</w:t>
      </w:r>
      <w:r w:rsidR="00AE4460">
        <w:rPr>
          <w:rFonts w:ascii="Times New Roman" w:hAnsi="Times New Roman"/>
        </w:rPr>
        <w:t>iding resources to both private</w:t>
      </w:r>
      <w:r w:rsidRPr="00005FC0">
        <w:rPr>
          <w:rFonts w:ascii="Times New Roman" w:hAnsi="Times New Roman"/>
        </w:rPr>
        <w:t xml:space="preserve"> and government agencies dealing with victims on a daily basis. For example, private consulting firms instruct investigators to always approach a case believing that “something” has occurred.</w:t>
      </w:r>
      <w:r w:rsidRPr="00005FC0">
        <w:rPr>
          <w:rStyle w:val="EndnoteReference"/>
          <w:rFonts w:ascii="Times New Roman" w:hAnsi="Times New Roman"/>
        </w:rPr>
        <w:endnoteReference w:id="12"/>
      </w:r>
      <w:r w:rsidRPr="00005FC0">
        <w:rPr>
          <w:rFonts w:ascii="Times New Roman" w:hAnsi="Times New Roman"/>
        </w:rPr>
        <w:t xml:space="preserve">  Similarly, national non-profits, like the Human Rights Watch, release reports instructing police officers on how to promote a victim</w:t>
      </w:r>
      <w:r w:rsidR="00AE4460">
        <w:rPr>
          <w:rFonts w:ascii="Times New Roman" w:hAnsi="Times New Roman"/>
        </w:rPr>
        <w:t>-</w:t>
      </w:r>
      <w:r w:rsidRPr="00005FC0">
        <w:rPr>
          <w:rFonts w:ascii="Times New Roman" w:hAnsi="Times New Roman"/>
        </w:rPr>
        <w:t>centered approach.</w:t>
      </w:r>
      <w:r w:rsidRPr="00005FC0">
        <w:rPr>
          <w:rStyle w:val="EndnoteReference"/>
          <w:rFonts w:ascii="Times New Roman" w:hAnsi="Times New Roman"/>
        </w:rPr>
        <w:endnoteReference w:id="13"/>
      </w:r>
      <w:r w:rsidRPr="00005FC0">
        <w:rPr>
          <w:rFonts w:ascii="Times New Roman" w:hAnsi="Times New Roman"/>
        </w:rPr>
        <w:t xml:space="preserve"> </w:t>
      </w:r>
    </w:p>
    <w:p w14:paraId="1026DB7B" w14:textId="77777777" w:rsidR="009737A8" w:rsidRPr="00005FC0" w:rsidRDefault="009737A8" w:rsidP="009737A8">
      <w:pPr>
        <w:spacing w:line="480" w:lineRule="auto"/>
        <w:rPr>
          <w:rFonts w:ascii="Times New Roman" w:hAnsi="Times New Roman"/>
        </w:rPr>
      </w:pPr>
    </w:p>
    <w:p w14:paraId="3DBEBA27" w14:textId="77777777" w:rsidR="009737A8" w:rsidRPr="004E2EC4" w:rsidRDefault="009737A8" w:rsidP="009737A8">
      <w:pPr>
        <w:spacing w:line="480" w:lineRule="auto"/>
        <w:jc w:val="center"/>
        <w:rPr>
          <w:rFonts w:ascii="Times New Roman" w:hAnsi="Times New Roman"/>
          <w:u w:val="single"/>
        </w:rPr>
      </w:pPr>
      <w:r w:rsidRPr="004E2EC4">
        <w:rPr>
          <w:rFonts w:ascii="Times New Roman" w:hAnsi="Times New Roman"/>
          <w:b/>
          <w:u w:val="single"/>
        </w:rPr>
        <w:t>Trial Rights for Victims</w:t>
      </w:r>
    </w:p>
    <w:p w14:paraId="58F8340C" w14:textId="5E8F6CC2" w:rsidR="009737A8" w:rsidRPr="00005FC0" w:rsidRDefault="009737A8" w:rsidP="009737A8">
      <w:pPr>
        <w:spacing w:line="480" w:lineRule="auto"/>
        <w:rPr>
          <w:rFonts w:ascii="Times New Roman" w:hAnsi="Times New Roman"/>
        </w:rPr>
      </w:pPr>
      <w:r w:rsidRPr="00005FC0">
        <w:rPr>
          <w:rFonts w:ascii="Times New Roman" w:hAnsi="Times New Roman"/>
        </w:rPr>
        <w:tab/>
        <w:t xml:space="preserve">Unlike the pretrial phase, </w:t>
      </w:r>
      <w:r w:rsidR="006B00C4">
        <w:rPr>
          <w:rFonts w:ascii="Times New Roman" w:hAnsi="Times New Roman"/>
        </w:rPr>
        <w:t>the trial phase incorporates</w:t>
      </w:r>
      <w:r w:rsidRPr="00005FC0">
        <w:rPr>
          <w:rFonts w:ascii="Times New Roman" w:hAnsi="Times New Roman"/>
        </w:rPr>
        <w:t xml:space="preserve"> some federal legislation to describe and enforce victims’ rights. In 2004, Congress passed the Crime Victims’ Rights Act (CVRA)—the “cutting edge of the third wave of victims’ rights.”</w:t>
      </w:r>
      <w:r w:rsidRPr="00005FC0">
        <w:rPr>
          <w:rStyle w:val="EndnoteReference"/>
          <w:rFonts w:ascii="Times New Roman" w:hAnsi="Times New Roman"/>
        </w:rPr>
        <w:endnoteReference w:id="14"/>
      </w:r>
      <w:r w:rsidRPr="00005FC0">
        <w:rPr>
          <w:rFonts w:ascii="Times New Roman" w:hAnsi="Times New Roman"/>
        </w:rPr>
        <w:t xml:space="preserve"> The CVRA has been the most significant change for federal crime victims’ rights during trial. The CVRA provides eight basic rights to crime victims: </w:t>
      </w:r>
    </w:p>
    <w:p w14:paraId="44F18DF2" w14:textId="77777777" w:rsidR="009737A8" w:rsidRPr="00005FC0" w:rsidRDefault="009737A8" w:rsidP="009737A8">
      <w:pPr>
        <w:numPr>
          <w:ilvl w:val="0"/>
          <w:numId w:val="1"/>
        </w:numPr>
        <w:spacing w:line="480" w:lineRule="auto"/>
        <w:ind w:right="360"/>
        <w:rPr>
          <w:rFonts w:ascii="Times New Roman" w:hAnsi="Times New Roman"/>
        </w:rPr>
      </w:pPr>
      <w:r w:rsidRPr="00005FC0">
        <w:rPr>
          <w:rFonts w:ascii="Times New Roman" w:hAnsi="Times New Roman"/>
        </w:rPr>
        <w:t xml:space="preserve">The right to be reasonably protected from the accused; </w:t>
      </w:r>
    </w:p>
    <w:p w14:paraId="01DF51BD" w14:textId="77777777" w:rsidR="009737A8" w:rsidRPr="00005FC0" w:rsidRDefault="009737A8" w:rsidP="009737A8">
      <w:pPr>
        <w:numPr>
          <w:ilvl w:val="0"/>
          <w:numId w:val="1"/>
        </w:numPr>
        <w:spacing w:line="480" w:lineRule="auto"/>
        <w:ind w:right="360"/>
        <w:rPr>
          <w:rFonts w:ascii="Times New Roman" w:hAnsi="Times New Roman"/>
        </w:rPr>
      </w:pPr>
      <w:r w:rsidRPr="00005FC0">
        <w:rPr>
          <w:rFonts w:ascii="Times New Roman" w:hAnsi="Times New Roman"/>
        </w:rPr>
        <w:t xml:space="preserve">The right to reasonable, accurate, and timely notice of any public court proceeding, or any parole proceeding, involving the crime or any release or escape of the accused; </w:t>
      </w:r>
    </w:p>
    <w:p w14:paraId="6F4F6473" w14:textId="77777777" w:rsidR="009737A8" w:rsidRPr="00005FC0" w:rsidRDefault="009737A8" w:rsidP="009737A8">
      <w:pPr>
        <w:numPr>
          <w:ilvl w:val="0"/>
          <w:numId w:val="1"/>
        </w:numPr>
        <w:spacing w:line="480" w:lineRule="auto"/>
        <w:ind w:right="360"/>
        <w:rPr>
          <w:rFonts w:ascii="Times New Roman" w:hAnsi="Times New Roman"/>
        </w:rPr>
      </w:pPr>
      <w:r w:rsidRPr="00005FC0">
        <w:rPr>
          <w:rFonts w:ascii="Times New Roman" w:hAnsi="Times New Roman"/>
        </w:rPr>
        <w:t xml:space="preserve">The right to not be excluded from a public court proceeding unless the court has clear and convincing evidence that the victim’s testimony would be materially altered after hearing other testimony at such a proceeding; </w:t>
      </w:r>
    </w:p>
    <w:p w14:paraId="53CD70BC" w14:textId="77777777" w:rsidR="009737A8" w:rsidRPr="00005FC0" w:rsidRDefault="009737A8" w:rsidP="009737A8">
      <w:pPr>
        <w:numPr>
          <w:ilvl w:val="0"/>
          <w:numId w:val="1"/>
        </w:numPr>
        <w:spacing w:line="480" w:lineRule="auto"/>
        <w:ind w:right="360"/>
        <w:rPr>
          <w:rFonts w:ascii="Times New Roman" w:hAnsi="Times New Roman"/>
        </w:rPr>
      </w:pPr>
      <w:r w:rsidRPr="00005FC0">
        <w:rPr>
          <w:rFonts w:ascii="Times New Roman" w:hAnsi="Times New Roman"/>
        </w:rPr>
        <w:lastRenderedPageBreak/>
        <w:t xml:space="preserve">The right to be reasonably heard at any public proceeding in the district court involving release, plea, sentencing, or parole; </w:t>
      </w:r>
    </w:p>
    <w:p w14:paraId="0B6ACEDE" w14:textId="77777777" w:rsidR="009737A8" w:rsidRPr="00005FC0" w:rsidRDefault="009737A8" w:rsidP="009737A8">
      <w:pPr>
        <w:numPr>
          <w:ilvl w:val="0"/>
          <w:numId w:val="1"/>
        </w:numPr>
        <w:spacing w:line="480" w:lineRule="auto"/>
        <w:ind w:right="360"/>
        <w:rPr>
          <w:rFonts w:ascii="Times New Roman" w:hAnsi="Times New Roman"/>
        </w:rPr>
      </w:pPr>
      <w:r w:rsidRPr="00005FC0">
        <w:rPr>
          <w:rFonts w:ascii="Times New Roman" w:hAnsi="Times New Roman"/>
        </w:rPr>
        <w:t xml:space="preserve">The reasonable right to confer with the attorney for the government in the case; </w:t>
      </w:r>
    </w:p>
    <w:p w14:paraId="1B8EC3B6" w14:textId="77777777" w:rsidR="009737A8" w:rsidRPr="00005FC0" w:rsidRDefault="009737A8" w:rsidP="009737A8">
      <w:pPr>
        <w:numPr>
          <w:ilvl w:val="0"/>
          <w:numId w:val="1"/>
        </w:numPr>
        <w:spacing w:line="480" w:lineRule="auto"/>
        <w:ind w:right="360"/>
        <w:rPr>
          <w:rFonts w:ascii="Times New Roman" w:hAnsi="Times New Roman"/>
        </w:rPr>
      </w:pPr>
      <w:r w:rsidRPr="00005FC0">
        <w:rPr>
          <w:rFonts w:ascii="Times New Roman" w:hAnsi="Times New Roman"/>
        </w:rPr>
        <w:t xml:space="preserve">The right to full and timely restitution as provided by law; </w:t>
      </w:r>
    </w:p>
    <w:p w14:paraId="4EF6E546" w14:textId="77777777" w:rsidR="009737A8" w:rsidRPr="00005FC0" w:rsidRDefault="009737A8" w:rsidP="009737A8">
      <w:pPr>
        <w:numPr>
          <w:ilvl w:val="0"/>
          <w:numId w:val="1"/>
        </w:numPr>
        <w:spacing w:line="480" w:lineRule="auto"/>
        <w:ind w:right="360"/>
        <w:rPr>
          <w:rFonts w:ascii="Times New Roman" w:hAnsi="Times New Roman"/>
        </w:rPr>
      </w:pPr>
      <w:r w:rsidRPr="00005FC0">
        <w:rPr>
          <w:rFonts w:ascii="Times New Roman" w:hAnsi="Times New Roman"/>
        </w:rPr>
        <w:t xml:space="preserve">The right to proceedings free from unreasonable delay; and </w:t>
      </w:r>
    </w:p>
    <w:p w14:paraId="70C68532" w14:textId="77777777" w:rsidR="009737A8" w:rsidRPr="00005FC0" w:rsidRDefault="009737A8" w:rsidP="009737A8">
      <w:pPr>
        <w:numPr>
          <w:ilvl w:val="0"/>
          <w:numId w:val="1"/>
        </w:numPr>
        <w:spacing w:line="480" w:lineRule="auto"/>
        <w:ind w:right="360"/>
        <w:rPr>
          <w:rFonts w:ascii="Times New Roman" w:hAnsi="Times New Roman"/>
        </w:rPr>
      </w:pPr>
      <w:r w:rsidRPr="00005FC0">
        <w:rPr>
          <w:rFonts w:ascii="Times New Roman" w:hAnsi="Times New Roman"/>
        </w:rPr>
        <w:t>The right to be treated with fairness and with respect for the victim’s dignity and privacy.</w:t>
      </w:r>
      <w:r w:rsidRPr="00005FC0">
        <w:rPr>
          <w:rStyle w:val="EndnoteReference"/>
          <w:rFonts w:ascii="Times New Roman" w:hAnsi="Times New Roman"/>
        </w:rPr>
        <w:endnoteReference w:id="15"/>
      </w:r>
      <w:r w:rsidRPr="00005FC0">
        <w:rPr>
          <w:rFonts w:ascii="Times New Roman" w:hAnsi="Times New Roman"/>
        </w:rPr>
        <w:t xml:space="preserve"> </w:t>
      </w:r>
    </w:p>
    <w:p w14:paraId="0AF0B60B" w14:textId="429A7916" w:rsidR="009737A8" w:rsidRPr="00005FC0" w:rsidRDefault="009737A8" w:rsidP="009737A8">
      <w:pPr>
        <w:spacing w:line="480" w:lineRule="auto"/>
        <w:ind w:firstLine="720"/>
        <w:rPr>
          <w:rFonts w:ascii="Times New Roman" w:hAnsi="Times New Roman"/>
        </w:rPr>
      </w:pPr>
      <w:r w:rsidRPr="00005FC0">
        <w:rPr>
          <w:rFonts w:ascii="Times New Roman" w:hAnsi="Times New Roman"/>
        </w:rPr>
        <w:t>Unlike previous victims’ rights legislation, the CVRA allows the government and the victim to enforce these rights.</w:t>
      </w:r>
      <w:r w:rsidRPr="00005FC0">
        <w:rPr>
          <w:rStyle w:val="EndnoteReference"/>
          <w:rFonts w:ascii="Times New Roman" w:hAnsi="Times New Roman"/>
        </w:rPr>
        <w:endnoteReference w:id="16"/>
      </w:r>
      <w:r w:rsidRPr="00005FC0">
        <w:rPr>
          <w:rFonts w:ascii="Times New Roman" w:hAnsi="Times New Roman"/>
        </w:rPr>
        <w:t xml:space="preserve"> The CVRA also requires government agencies and courts to reasonably act to notify victims of these rights and to ensure victims receive these rights.</w:t>
      </w:r>
      <w:r w:rsidRPr="00005FC0">
        <w:rPr>
          <w:rStyle w:val="EndnoteReference"/>
          <w:rFonts w:ascii="Times New Roman" w:hAnsi="Times New Roman"/>
        </w:rPr>
        <w:endnoteReference w:id="17"/>
      </w:r>
      <w:r w:rsidRPr="00005FC0">
        <w:rPr>
          <w:rFonts w:ascii="Times New Roman" w:hAnsi="Times New Roman"/>
        </w:rPr>
        <w:t xml:space="preserve"> Finally, the CVRA includes penalties for government agencies that fail to ensure these rights.</w:t>
      </w:r>
      <w:r w:rsidRPr="00005FC0">
        <w:rPr>
          <w:rStyle w:val="EndnoteReference"/>
          <w:rFonts w:ascii="Times New Roman" w:hAnsi="Times New Roman"/>
        </w:rPr>
        <w:endnoteReference w:id="18"/>
      </w:r>
      <w:r w:rsidRPr="00005FC0">
        <w:rPr>
          <w:rFonts w:ascii="Times New Roman" w:hAnsi="Times New Roman"/>
        </w:rPr>
        <w:t xml:space="preserve"> A government employee who fails to comply must undergo a required training course, and an employee who</w:t>
      </w:r>
      <w:r w:rsidR="00AE4460">
        <w:rPr>
          <w:rFonts w:ascii="Times New Roman" w:hAnsi="Times New Roman"/>
        </w:rPr>
        <w:t xml:space="preserve"> </w:t>
      </w:r>
      <w:r w:rsidR="00BB7D49">
        <w:rPr>
          <w:rFonts w:ascii="Times New Roman" w:hAnsi="Times New Roman"/>
        </w:rPr>
        <w:t>intentionally</w:t>
      </w:r>
      <w:r w:rsidRPr="00005FC0">
        <w:rPr>
          <w:rFonts w:ascii="Times New Roman" w:hAnsi="Times New Roman"/>
        </w:rPr>
        <w:t xml:space="preserve"> fails to comply faces disciplinary sanctions.</w:t>
      </w:r>
      <w:r w:rsidRPr="00005FC0">
        <w:rPr>
          <w:rStyle w:val="EndnoteReference"/>
          <w:rFonts w:ascii="Times New Roman" w:hAnsi="Times New Roman"/>
        </w:rPr>
        <w:endnoteReference w:id="19"/>
      </w:r>
      <w:r w:rsidRPr="00005FC0">
        <w:rPr>
          <w:rFonts w:ascii="Times New Roman" w:hAnsi="Times New Roman"/>
        </w:rPr>
        <w:t xml:space="preserve">  </w:t>
      </w:r>
    </w:p>
    <w:p w14:paraId="4F84869B" w14:textId="77777777" w:rsidR="009737A8" w:rsidRPr="00005FC0" w:rsidRDefault="009737A8" w:rsidP="009737A8">
      <w:pPr>
        <w:spacing w:line="480" w:lineRule="auto"/>
        <w:ind w:firstLine="720"/>
        <w:rPr>
          <w:rFonts w:ascii="Times New Roman" w:hAnsi="Times New Roman"/>
        </w:rPr>
      </w:pPr>
      <w:r w:rsidRPr="00005FC0">
        <w:rPr>
          <w:rFonts w:ascii="Times New Roman" w:hAnsi="Times New Roman"/>
        </w:rPr>
        <w:t xml:space="preserve">The CVRA hopes to set a model for state governments. As Senator Feinstein asserted: </w:t>
      </w:r>
    </w:p>
    <w:p w14:paraId="2A2CD482" w14:textId="473AFDB9" w:rsidR="009737A8" w:rsidRPr="00005FC0" w:rsidRDefault="009737A8" w:rsidP="009737A8">
      <w:pPr>
        <w:ind w:left="720" w:right="720"/>
        <w:rPr>
          <w:rFonts w:ascii="Times New Roman" w:hAnsi="Times New Roman"/>
        </w:rPr>
      </w:pPr>
      <w:r w:rsidRPr="00005FC0">
        <w:rPr>
          <w:rFonts w:ascii="Times New Roman" w:eastAsia="Times New Roman" w:hAnsi="Times New Roman"/>
        </w:rPr>
        <w:t>This act, of course, binds only the federal system, but is designed to affect the states also. First it is hoped that states will look to this law as a model and incorporate it into their own systems. This law encourages that by allowing both types of grants</w:t>
      </w:r>
      <w:r w:rsidR="006C26DE">
        <w:rPr>
          <w:rFonts w:ascii="Times New Roman" w:eastAsia="Times New Roman" w:hAnsi="Times New Roman"/>
        </w:rPr>
        <w:t>—</w:t>
      </w:r>
      <w:r w:rsidRPr="00005FC0">
        <w:rPr>
          <w:rFonts w:ascii="Times New Roman" w:eastAsia="Times New Roman" w:hAnsi="Times New Roman"/>
        </w:rPr>
        <w:t>legal assistance and </w:t>
      </w:r>
      <w:r w:rsidRPr="00005FC0">
        <w:rPr>
          <w:rFonts w:ascii="Times New Roman" w:eastAsia="Times New Roman" w:hAnsi="Times New Roman"/>
          <w:bCs/>
        </w:rPr>
        <w:t>victim</w:t>
      </w:r>
      <w:r w:rsidRPr="00005FC0">
        <w:rPr>
          <w:rFonts w:ascii="Times New Roman" w:eastAsia="Times New Roman" w:hAnsi="Times New Roman"/>
        </w:rPr>
        <w:t> notification</w:t>
      </w:r>
      <w:r w:rsidR="006C26DE">
        <w:rPr>
          <w:rFonts w:ascii="Times New Roman" w:eastAsia="Times New Roman" w:hAnsi="Times New Roman"/>
        </w:rPr>
        <w:t>—</w:t>
      </w:r>
      <w:r w:rsidRPr="00005FC0">
        <w:rPr>
          <w:rFonts w:ascii="Times New Roman" w:eastAsia="Times New Roman" w:hAnsi="Times New Roman"/>
        </w:rPr>
        <w:t>to be provided to state entities, and for use in state systems where the state has in place ‘laws substantially equivalent’ to this act.</w:t>
      </w:r>
      <w:r w:rsidRPr="00005FC0">
        <w:rPr>
          <w:rStyle w:val="EndnoteReference"/>
          <w:rFonts w:ascii="Times New Roman" w:eastAsia="Times New Roman" w:hAnsi="Times New Roman"/>
        </w:rPr>
        <w:endnoteReference w:id="20"/>
      </w:r>
      <w:r w:rsidRPr="00005FC0">
        <w:rPr>
          <w:rFonts w:ascii="Times New Roman" w:eastAsia="Times New Roman" w:hAnsi="Times New Roman"/>
        </w:rPr>
        <w:br/>
      </w:r>
    </w:p>
    <w:p w14:paraId="14E13DCB" w14:textId="77777777" w:rsidR="009737A8" w:rsidRPr="00005FC0" w:rsidRDefault="009737A8" w:rsidP="009737A8">
      <w:pPr>
        <w:spacing w:line="480" w:lineRule="auto"/>
        <w:ind w:firstLine="720"/>
        <w:rPr>
          <w:rFonts w:ascii="Times New Roman" w:hAnsi="Times New Roman"/>
        </w:rPr>
      </w:pPr>
      <w:r w:rsidRPr="00005FC0">
        <w:rPr>
          <w:rFonts w:ascii="Times New Roman" w:hAnsi="Times New Roman"/>
        </w:rPr>
        <w:t xml:space="preserve">While the effect on states incorporating the CVRA remains unclear, the Federal Rules of Criminal Procedure have incorporated a number of rights from the CVRA. This is incredibly important for two reasons. First, the more the CVRA is incorporated into the </w:t>
      </w:r>
      <w:r w:rsidRPr="00005FC0">
        <w:rPr>
          <w:rFonts w:ascii="Times New Roman" w:hAnsi="Times New Roman"/>
        </w:rPr>
        <w:lastRenderedPageBreak/>
        <w:t xml:space="preserve">legal system for victims’ rights, the more momentum there is for states to adopt some—or all—of the CVRA. Second, the adoption of the CVRA into the Federal Rules of Criminal Procedure puts further pressure on courts to enforce victims’ rights because violation of these rules can result in judgments being overturned or re-opened. </w:t>
      </w:r>
    </w:p>
    <w:p w14:paraId="200C61ED" w14:textId="77777777" w:rsidR="009737A8" w:rsidRPr="00005FC0" w:rsidRDefault="009737A8" w:rsidP="009737A8">
      <w:pPr>
        <w:spacing w:line="480" w:lineRule="auto"/>
        <w:ind w:firstLine="720"/>
        <w:rPr>
          <w:rFonts w:ascii="Times New Roman" w:hAnsi="Times New Roman"/>
        </w:rPr>
      </w:pPr>
      <w:r w:rsidRPr="00005FC0">
        <w:rPr>
          <w:rFonts w:ascii="Times New Roman" w:hAnsi="Times New Roman"/>
        </w:rPr>
        <w:t>The CVRA expands the definition of “victim” to expressly exclude any person accused of a crime, and to include any “person directly and proximately harmed as a result of the commission of a Federal offense . . . .”</w:t>
      </w:r>
      <w:r w:rsidRPr="00005FC0">
        <w:rPr>
          <w:rStyle w:val="EndnoteReference"/>
          <w:rFonts w:ascii="Times New Roman" w:hAnsi="Times New Roman"/>
        </w:rPr>
        <w:endnoteReference w:id="21"/>
      </w:r>
      <w:r w:rsidRPr="00005FC0">
        <w:rPr>
          <w:rFonts w:ascii="Times New Roman" w:hAnsi="Times New Roman"/>
        </w:rPr>
        <w:t xml:space="preserve"> The Supreme Court of the United States adopted this definition and submitted it to the 2008 advisory committee of the Federal Rules of Criminal Procedure. The committee adopted the definition, and it is now incorporated in Rule 1.</w:t>
      </w:r>
      <w:r w:rsidRPr="00005FC0">
        <w:rPr>
          <w:rStyle w:val="EndnoteReference"/>
          <w:rFonts w:ascii="Times New Roman" w:hAnsi="Times New Roman"/>
        </w:rPr>
        <w:endnoteReference w:id="22"/>
      </w:r>
    </w:p>
    <w:p w14:paraId="16157806" w14:textId="77777777" w:rsidR="009737A8" w:rsidRPr="00005FC0" w:rsidRDefault="009737A8" w:rsidP="009737A8">
      <w:pPr>
        <w:spacing w:line="480" w:lineRule="auto"/>
        <w:ind w:firstLine="720"/>
        <w:rPr>
          <w:rFonts w:ascii="Times New Roman" w:eastAsia="Times New Roman" w:hAnsi="Times New Roman"/>
        </w:rPr>
      </w:pPr>
      <w:r w:rsidRPr="00005FC0">
        <w:rPr>
          <w:rFonts w:ascii="Times New Roman" w:eastAsia="Times New Roman" w:hAnsi="Times New Roman"/>
        </w:rPr>
        <w:t>The right to be treated with fairness and respect for dignity and privacy is a broad right, but it has also influenced the Federal Rules for Criminal Procedure Rules Committee. Rule 12.1 prohibits a victim’s address and telephone number from being automatically provided to the defense when an alibi defense is raised.</w:t>
      </w:r>
      <w:r w:rsidRPr="00005FC0">
        <w:rPr>
          <w:rStyle w:val="EndnoteReference"/>
          <w:rFonts w:ascii="Times New Roman" w:eastAsia="Times New Roman" w:hAnsi="Times New Roman"/>
        </w:rPr>
        <w:endnoteReference w:id="23"/>
      </w:r>
      <w:r w:rsidRPr="00005FC0">
        <w:rPr>
          <w:rFonts w:ascii="Times New Roman" w:eastAsia="Times New Roman" w:hAnsi="Times New Roman"/>
        </w:rPr>
        <w:t xml:space="preserve"> Rule 17 requires: (1) court approval if a defendant subpoenas a third party for a victim’s personal information; (2) giving the victim notice of the subpoena; and (3) providing the victim an opportunity to quash or modify the subpoena.</w:t>
      </w:r>
      <w:r w:rsidRPr="00005FC0">
        <w:rPr>
          <w:rStyle w:val="EndnoteReference"/>
          <w:rFonts w:ascii="Times New Roman" w:eastAsia="Times New Roman" w:hAnsi="Times New Roman"/>
        </w:rPr>
        <w:endnoteReference w:id="24"/>
      </w:r>
      <w:r w:rsidRPr="00005FC0">
        <w:rPr>
          <w:rFonts w:ascii="Times New Roman" w:eastAsia="Times New Roman" w:hAnsi="Times New Roman"/>
        </w:rPr>
        <w:t xml:space="preserve"> Rule 18 mandates a court to consider a victim’s convenience when setting the location of the trial.</w:t>
      </w:r>
      <w:r w:rsidRPr="00005FC0">
        <w:rPr>
          <w:rStyle w:val="EndnoteReference"/>
          <w:rFonts w:ascii="Times New Roman" w:eastAsia="Times New Roman" w:hAnsi="Times New Roman"/>
        </w:rPr>
        <w:endnoteReference w:id="25"/>
      </w:r>
      <w:r w:rsidRPr="00005FC0">
        <w:rPr>
          <w:rFonts w:ascii="Times New Roman" w:eastAsia="Times New Roman" w:hAnsi="Times New Roman"/>
        </w:rPr>
        <w:t xml:space="preserve"> Rule 60—labeled “Victim’s Rights”—obligates courts to give a victim notice of court proceedings, along with the opportunity to attend and the right to be heard at such proceedings.</w:t>
      </w:r>
      <w:r w:rsidRPr="00005FC0">
        <w:rPr>
          <w:rStyle w:val="EndnoteReference"/>
          <w:rFonts w:ascii="Times New Roman" w:eastAsia="Times New Roman" w:hAnsi="Times New Roman"/>
        </w:rPr>
        <w:endnoteReference w:id="26"/>
      </w:r>
      <w:r w:rsidRPr="00005FC0">
        <w:rPr>
          <w:rFonts w:ascii="Times New Roman" w:eastAsia="Times New Roman" w:hAnsi="Times New Roman"/>
        </w:rPr>
        <w:t xml:space="preserve">  </w:t>
      </w:r>
      <w:r w:rsidRPr="00005FC0">
        <w:rPr>
          <w:rFonts w:ascii="Times New Roman" w:hAnsi="Times New Roman"/>
        </w:rPr>
        <w:t>Rule 60 also imposes a higher burden of proof that most state systems by requiring a defendant to show “clear and convincing evidence” that a victim will materially alter her testimony.</w:t>
      </w:r>
      <w:r w:rsidRPr="00005FC0">
        <w:rPr>
          <w:rStyle w:val="EndnoteReference"/>
          <w:rFonts w:ascii="Times New Roman" w:hAnsi="Times New Roman"/>
        </w:rPr>
        <w:endnoteReference w:id="27"/>
      </w:r>
      <w:r w:rsidRPr="00005FC0">
        <w:rPr>
          <w:rFonts w:ascii="Times New Roman" w:hAnsi="Times New Roman"/>
        </w:rPr>
        <w:t xml:space="preserve"> </w:t>
      </w:r>
    </w:p>
    <w:p w14:paraId="50AA3720" w14:textId="77777777" w:rsidR="009737A8" w:rsidRPr="00005FC0" w:rsidRDefault="009737A8" w:rsidP="009737A8">
      <w:pPr>
        <w:spacing w:line="480" w:lineRule="auto"/>
        <w:ind w:firstLine="720"/>
        <w:rPr>
          <w:rFonts w:ascii="Times New Roman" w:hAnsi="Times New Roman"/>
        </w:rPr>
      </w:pPr>
      <w:r w:rsidRPr="00005FC0">
        <w:rPr>
          <w:rFonts w:ascii="Times New Roman" w:hAnsi="Times New Roman"/>
        </w:rPr>
        <w:lastRenderedPageBreak/>
        <w:t xml:space="preserve">The CVRA gives victims standing to be present, and to participate in certain proceedings at both the trial and appellate levels. As Senator Feinstein explained: </w:t>
      </w:r>
    </w:p>
    <w:p w14:paraId="2D11A244" w14:textId="77777777" w:rsidR="009737A8" w:rsidRPr="00005FC0" w:rsidRDefault="009737A8" w:rsidP="009737A8">
      <w:pPr>
        <w:ind w:left="720" w:right="720"/>
        <w:rPr>
          <w:rFonts w:ascii="Times New Roman" w:hAnsi="Times New Roman"/>
        </w:rPr>
      </w:pPr>
      <w:r w:rsidRPr="00005FC0">
        <w:rPr>
          <w:rFonts w:ascii="Times New Roman" w:hAnsi="Times New Roman"/>
        </w:rPr>
        <w:t>This provision allows a victim to enter the criminal trial court during proceedings involving the crime against the victim, to stand with other counsel in the well of the court, and assert the rights provided by this bill. This provisions ensures that crime victims have standing to be heard in trial courts so that they are heard at the very moment when their rights are at stake and this, in turn, forces the criminal justice system to be responsive to a victim’s rights in a timely way.</w:t>
      </w:r>
      <w:r w:rsidRPr="00005FC0">
        <w:rPr>
          <w:rStyle w:val="EndnoteReference"/>
          <w:rFonts w:ascii="Times New Roman" w:hAnsi="Times New Roman"/>
        </w:rPr>
        <w:endnoteReference w:id="28"/>
      </w:r>
      <w:r w:rsidRPr="00005FC0">
        <w:rPr>
          <w:rFonts w:ascii="Times New Roman" w:hAnsi="Times New Roman"/>
        </w:rPr>
        <w:t xml:space="preserve"> </w:t>
      </w:r>
      <w:r w:rsidRPr="00005FC0">
        <w:rPr>
          <w:rFonts w:ascii="Times New Roman" w:hAnsi="Times New Roman"/>
        </w:rPr>
        <w:br/>
      </w:r>
    </w:p>
    <w:p w14:paraId="188AC3CD" w14:textId="77777777" w:rsidR="009737A8" w:rsidRPr="00005FC0" w:rsidRDefault="009737A8" w:rsidP="009737A8">
      <w:pPr>
        <w:spacing w:line="480" w:lineRule="auto"/>
        <w:rPr>
          <w:rFonts w:ascii="Times New Roman" w:hAnsi="Times New Roman"/>
        </w:rPr>
      </w:pPr>
      <w:r w:rsidRPr="00005FC0">
        <w:rPr>
          <w:rFonts w:ascii="Times New Roman" w:hAnsi="Times New Roman"/>
        </w:rPr>
        <w:tab/>
        <w:t>The CVRA allows victims to choose their own attorney and to legally assert their right to be present and participate in a criminal proceeding.</w:t>
      </w:r>
      <w:r w:rsidRPr="00005FC0">
        <w:rPr>
          <w:rStyle w:val="EndnoteReference"/>
          <w:rFonts w:ascii="Times New Roman" w:hAnsi="Times New Roman"/>
        </w:rPr>
        <w:endnoteReference w:id="29"/>
      </w:r>
      <w:r w:rsidRPr="00005FC0">
        <w:rPr>
          <w:rFonts w:ascii="Times New Roman" w:hAnsi="Times New Roman"/>
        </w:rPr>
        <w:t xml:space="preserve"> For example, a victim may make a motion to reopen a plea argument in the district court.</w:t>
      </w:r>
      <w:r w:rsidRPr="00005FC0">
        <w:rPr>
          <w:rStyle w:val="EndnoteReference"/>
          <w:rFonts w:ascii="Times New Roman" w:hAnsi="Times New Roman"/>
        </w:rPr>
        <w:endnoteReference w:id="30"/>
      </w:r>
      <w:r w:rsidRPr="00005FC0">
        <w:rPr>
          <w:rFonts w:ascii="Times New Roman" w:hAnsi="Times New Roman"/>
        </w:rPr>
        <w:t xml:space="preserve"> If the district court denies the victim’s motion, the CVRA requires an expedited appellate review process (within seventy-two hours) if the victim chooses to pursue an appeal.</w:t>
      </w:r>
      <w:r w:rsidRPr="00005FC0">
        <w:rPr>
          <w:rStyle w:val="EndnoteReference"/>
          <w:rFonts w:ascii="Times New Roman" w:hAnsi="Times New Roman"/>
        </w:rPr>
        <w:endnoteReference w:id="31"/>
      </w:r>
      <w:r w:rsidRPr="00005FC0">
        <w:rPr>
          <w:rFonts w:ascii="Times New Roman" w:hAnsi="Times New Roman"/>
        </w:rPr>
        <w:t xml:space="preserve"> The CVRA has been consequential in creating this appellate review process—but unfortunately this right is inconsistently applied in courts</w:t>
      </w:r>
      <w:r>
        <w:rPr>
          <w:rFonts w:ascii="Times New Roman" w:hAnsi="Times New Roman"/>
        </w:rPr>
        <w:t>.</w:t>
      </w:r>
    </w:p>
    <w:p w14:paraId="1E8652B0" w14:textId="77777777" w:rsidR="009737A8" w:rsidRDefault="009737A8" w:rsidP="009737A8">
      <w:pPr>
        <w:spacing w:line="480" w:lineRule="auto"/>
        <w:ind w:right="720"/>
        <w:rPr>
          <w:rFonts w:ascii="Times New Roman" w:hAnsi="Times New Roman"/>
          <w:b/>
        </w:rPr>
      </w:pPr>
    </w:p>
    <w:p w14:paraId="221EDACB" w14:textId="77777777" w:rsidR="009737A8" w:rsidRPr="00C66295" w:rsidRDefault="009737A8" w:rsidP="009737A8">
      <w:pPr>
        <w:spacing w:line="480" w:lineRule="auto"/>
        <w:jc w:val="center"/>
        <w:rPr>
          <w:rFonts w:ascii="Times New Roman" w:hAnsi="Times New Roman"/>
          <w:b/>
          <w:u w:val="single"/>
        </w:rPr>
      </w:pPr>
      <w:r w:rsidRPr="00C66295">
        <w:rPr>
          <w:rFonts w:ascii="Times New Roman" w:hAnsi="Times New Roman"/>
          <w:b/>
          <w:u w:val="single"/>
        </w:rPr>
        <w:t>Limitations of the CVRA: Areas for Further Expansion on Federal Victims’ Rights</w:t>
      </w:r>
    </w:p>
    <w:p w14:paraId="14BC61B6" w14:textId="1BABC340" w:rsidR="009737A8" w:rsidRPr="00005FC0" w:rsidRDefault="009737A8" w:rsidP="009737A8">
      <w:pPr>
        <w:spacing w:line="480" w:lineRule="auto"/>
        <w:rPr>
          <w:rFonts w:ascii="Times New Roman" w:hAnsi="Times New Roman"/>
        </w:rPr>
      </w:pPr>
      <w:r w:rsidRPr="00005FC0">
        <w:rPr>
          <w:rFonts w:ascii="Times New Roman" w:hAnsi="Times New Roman"/>
        </w:rPr>
        <w:tab/>
        <w:t>The CVRA has had mixed success concerning the right to be reasonably protected from the accused and to be present and reasonably heard at pretrial release meetings. These rights are so important because a crime victim may have information—unknown to the prosecutor—</w:t>
      </w:r>
      <w:r>
        <w:rPr>
          <w:rFonts w:ascii="Times New Roman" w:hAnsi="Times New Roman"/>
        </w:rPr>
        <w:t>that</w:t>
      </w:r>
      <w:r w:rsidRPr="00005FC0">
        <w:rPr>
          <w:rFonts w:ascii="Times New Roman" w:hAnsi="Times New Roman"/>
        </w:rPr>
        <w:t xml:space="preserve"> a judge may find relevant in deciding the case. Some courts have enforced this right while others have not. For example, in </w:t>
      </w:r>
      <w:r w:rsidRPr="00005FC0">
        <w:rPr>
          <w:rFonts w:ascii="Times New Roman" w:hAnsi="Times New Roman"/>
          <w:i/>
        </w:rPr>
        <w:t>United States v. Degenhardt</w:t>
      </w:r>
      <w:r w:rsidRPr="00005FC0">
        <w:rPr>
          <w:rFonts w:ascii="Times New Roman" w:hAnsi="Times New Roman"/>
        </w:rPr>
        <w:t>, the court found that a crime victim’s right to be reasonably heard at sentencing allowed the victim to directly speak to the judge.</w:t>
      </w:r>
      <w:r w:rsidRPr="00005FC0">
        <w:rPr>
          <w:rStyle w:val="EndnoteReference"/>
          <w:rFonts w:ascii="Times New Roman" w:hAnsi="Times New Roman"/>
        </w:rPr>
        <w:endnoteReference w:id="32"/>
      </w:r>
      <w:r w:rsidRPr="00005FC0">
        <w:rPr>
          <w:rFonts w:ascii="Times New Roman" w:hAnsi="Times New Roman"/>
        </w:rPr>
        <w:t xml:space="preserve"> Alternatively, in </w:t>
      </w:r>
      <w:r w:rsidRPr="00005FC0">
        <w:rPr>
          <w:rFonts w:ascii="Times New Roman" w:hAnsi="Times New Roman"/>
          <w:i/>
        </w:rPr>
        <w:t>United States v. Marcello</w:t>
      </w:r>
      <w:r w:rsidRPr="00005FC0">
        <w:rPr>
          <w:rFonts w:ascii="Times New Roman" w:hAnsi="Times New Roman"/>
        </w:rPr>
        <w:t xml:space="preserve">, the court found that this same right could be obliged through written statements—and did not </w:t>
      </w:r>
      <w:r w:rsidRPr="00005FC0">
        <w:rPr>
          <w:rFonts w:ascii="Times New Roman" w:hAnsi="Times New Roman"/>
        </w:rPr>
        <w:lastRenderedPageBreak/>
        <w:t>include a victim’s right to appear in person before the court.</w:t>
      </w:r>
      <w:r w:rsidRPr="00005FC0">
        <w:rPr>
          <w:rStyle w:val="EndnoteReference"/>
          <w:rFonts w:ascii="Times New Roman" w:hAnsi="Times New Roman"/>
        </w:rPr>
        <w:endnoteReference w:id="33"/>
      </w:r>
      <w:r w:rsidRPr="00005FC0">
        <w:rPr>
          <w:rFonts w:ascii="Times New Roman" w:hAnsi="Times New Roman"/>
        </w:rPr>
        <w:t xml:space="preserve"> Victims’ rights advocates will have to hope that the </w:t>
      </w:r>
      <w:r w:rsidRPr="00005FC0">
        <w:rPr>
          <w:rFonts w:ascii="Times New Roman" w:hAnsi="Times New Roman"/>
          <w:i/>
        </w:rPr>
        <w:t xml:space="preserve">Degenhardt </w:t>
      </w:r>
      <w:r w:rsidR="00873515">
        <w:rPr>
          <w:rFonts w:ascii="Times New Roman" w:hAnsi="Times New Roman"/>
        </w:rPr>
        <w:t xml:space="preserve">holding </w:t>
      </w:r>
      <w:r w:rsidRPr="00005FC0">
        <w:rPr>
          <w:rFonts w:ascii="Times New Roman" w:hAnsi="Times New Roman"/>
        </w:rPr>
        <w:t xml:space="preserve">will be upheld by higher courts, or that Congress will pass additional legislation </w:t>
      </w:r>
      <w:r w:rsidR="00873515">
        <w:rPr>
          <w:rFonts w:ascii="Times New Roman" w:hAnsi="Times New Roman"/>
        </w:rPr>
        <w:t>addressing</w:t>
      </w:r>
      <w:r w:rsidRPr="00005FC0">
        <w:rPr>
          <w:rFonts w:ascii="Times New Roman" w:hAnsi="Times New Roman"/>
        </w:rPr>
        <w:t xml:space="preserve"> a victim’s right to directly speak to a court. </w:t>
      </w:r>
    </w:p>
    <w:p w14:paraId="19FD2CEE" w14:textId="151331D5" w:rsidR="009737A8" w:rsidRPr="00005FC0" w:rsidRDefault="009737A8" w:rsidP="009737A8">
      <w:pPr>
        <w:spacing w:line="480" w:lineRule="auto"/>
        <w:ind w:firstLine="720"/>
        <w:rPr>
          <w:rFonts w:ascii="Times New Roman" w:eastAsia="Times New Roman" w:hAnsi="Times New Roman"/>
        </w:rPr>
      </w:pPr>
      <w:r w:rsidRPr="00005FC0">
        <w:rPr>
          <w:rFonts w:ascii="Times New Roman" w:eastAsia="Times New Roman" w:hAnsi="Times New Roman"/>
        </w:rPr>
        <w:t>The CVRA—in some ways—also lacks the teeth to enforce victims’ rights because it does not create a caus</w:t>
      </w:r>
      <w:r w:rsidR="00336C90">
        <w:rPr>
          <w:rFonts w:ascii="Times New Roman" w:eastAsia="Times New Roman" w:hAnsi="Times New Roman"/>
        </w:rPr>
        <w:t>e of action under which victims</w:t>
      </w:r>
      <w:r w:rsidRPr="00005FC0">
        <w:rPr>
          <w:rFonts w:ascii="Times New Roman" w:eastAsia="Times New Roman" w:hAnsi="Times New Roman"/>
        </w:rPr>
        <w:t xml:space="preserve"> can sue for damages. The CVRA states: </w:t>
      </w:r>
    </w:p>
    <w:p w14:paraId="20B16793" w14:textId="77777777" w:rsidR="009737A8" w:rsidRPr="00005FC0" w:rsidRDefault="009737A8" w:rsidP="009737A8">
      <w:pPr>
        <w:ind w:left="720" w:right="720"/>
        <w:rPr>
          <w:rFonts w:ascii="Times New Roman" w:eastAsia="Times New Roman" w:hAnsi="Times New Roman"/>
        </w:rPr>
      </w:pPr>
      <w:r w:rsidRPr="00005FC0">
        <w:rPr>
          <w:rFonts w:ascii="Times New Roman" w:eastAsia="Times New Roman" w:hAnsi="Times New Roman"/>
        </w:rPr>
        <w:t>No Cause of Action. Nothing in this chapter shall be construed to authorize a cause of action for damages or to create, to enlarge, or to imply any duty or obligation to any victim or other person for the breach of which the United States or any of its officers or employees could be held liable in damages.</w:t>
      </w:r>
      <w:r w:rsidRPr="00005FC0">
        <w:rPr>
          <w:rStyle w:val="EndnoteReference"/>
          <w:rFonts w:ascii="Times New Roman" w:eastAsia="Times New Roman" w:hAnsi="Times New Roman"/>
        </w:rPr>
        <w:endnoteReference w:id="34"/>
      </w:r>
      <w:r w:rsidRPr="00005FC0">
        <w:rPr>
          <w:rFonts w:ascii="Times New Roman" w:eastAsia="Times New Roman" w:hAnsi="Times New Roman"/>
        </w:rPr>
        <w:br/>
      </w:r>
    </w:p>
    <w:p w14:paraId="0EDECAC6" w14:textId="4C585E91" w:rsidR="009737A8" w:rsidRPr="00005FC0" w:rsidRDefault="009737A8" w:rsidP="00BA3088">
      <w:pPr>
        <w:spacing w:line="480" w:lineRule="auto"/>
        <w:rPr>
          <w:rFonts w:ascii="Times New Roman" w:eastAsia="Times New Roman" w:hAnsi="Times New Roman"/>
        </w:rPr>
      </w:pPr>
      <w:r w:rsidRPr="00005FC0">
        <w:rPr>
          <w:rFonts w:ascii="Times New Roman" w:eastAsia="Times New Roman" w:hAnsi="Times New Roman"/>
        </w:rPr>
        <w:tab/>
        <w:t>The CVRA allows victims to immediately appeal an alleged violation of a victim’s CVRA rights—likely to substitute for a lack of cause of action. But courts have differed on whether a victim has a discretionary or mandatory right to appeal an alleged violation. The Second, Third, and Ninth Circuits have adopted a pro-victim standard of review and have interpreted the CVRA to regularly review alleged violations.</w:t>
      </w:r>
      <w:r w:rsidRPr="00005FC0">
        <w:rPr>
          <w:rStyle w:val="EndnoteReference"/>
          <w:rFonts w:ascii="Times New Roman" w:eastAsia="Times New Roman" w:hAnsi="Times New Roman"/>
        </w:rPr>
        <w:endnoteReference w:id="35"/>
      </w:r>
      <w:r w:rsidRPr="00005FC0">
        <w:rPr>
          <w:rFonts w:ascii="Times New Roman" w:eastAsia="Times New Roman" w:hAnsi="Times New Roman"/>
        </w:rPr>
        <w:t xml:space="preserve"> Alternatively, the Fifth and Tenth Circuits have interpreted this clause to allow broad discretion on reviewing whether an alleged violation has occurred.</w:t>
      </w:r>
      <w:r w:rsidRPr="00005FC0">
        <w:rPr>
          <w:rStyle w:val="EndnoteReference"/>
          <w:rFonts w:ascii="Times New Roman" w:eastAsia="Times New Roman" w:hAnsi="Times New Roman"/>
        </w:rPr>
        <w:endnoteReference w:id="36"/>
      </w:r>
      <w:r w:rsidRPr="00005FC0">
        <w:rPr>
          <w:rFonts w:ascii="Times New Roman" w:eastAsia="Times New Roman" w:hAnsi="Times New Roman"/>
        </w:rPr>
        <w:t xml:space="preserve"> Thus the CVRA has no </w:t>
      </w:r>
      <w:r w:rsidRPr="00005FC0">
        <w:rPr>
          <w:rFonts w:ascii="Times New Roman" w:eastAsia="Times New Roman" w:hAnsi="Times New Roman"/>
          <w:i/>
        </w:rPr>
        <w:t>assured</w:t>
      </w:r>
      <w:r w:rsidRPr="00005FC0">
        <w:rPr>
          <w:rFonts w:ascii="Times New Roman" w:eastAsia="Times New Roman" w:hAnsi="Times New Roman"/>
        </w:rPr>
        <w:t xml:space="preserve"> legal avenue for victims to hold government agencies accountable for alleged violations.  </w:t>
      </w:r>
    </w:p>
    <w:p w14:paraId="4D817128" w14:textId="77777777" w:rsidR="009737A8" w:rsidRDefault="009737A8" w:rsidP="009737A8">
      <w:pPr>
        <w:spacing w:line="480" w:lineRule="auto"/>
        <w:rPr>
          <w:rFonts w:ascii="Times New Roman" w:hAnsi="Times New Roman"/>
          <w:b/>
          <w:u w:val="single"/>
        </w:rPr>
      </w:pPr>
    </w:p>
    <w:p w14:paraId="7530CE98" w14:textId="77777777" w:rsidR="00BA3088" w:rsidRDefault="00BA3088" w:rsidP="009737A8">
      <w:pPr>
        <w:spacing w:line="480" w:lineRule="auto"/>
        <w:rPr>
          <w:rFonts w:ascii="Times New Roman" w:hAnsi="Times New Roman"/>
          <w:b/>
          <w:u w:val="single"/>
        </w:rPr>
      </w:pPr>
    </w:p>
    <w:p w14:paraId="6C7288F7" w14:textId="77777777" w:rsidR="00BA3088" w:rsidRDefault="00BA3088" w:rsidP="009737A8">
      <w:pPr>
        <w:spacing w:line="480" w:lineRule="auto"/>
        <w:rPr>
          <w:rFonts w:ascii="Times New Roman" w:hAnsi="Times New Roman"/>
          <w:b/>
          <w:u w:val="single"/>
        </w:rPr>
      </w:pPr>
    </w:p>
    <w:p w14:paraId="00FD4D5E" w14:textId="77777777" w:rsidR="00BA3088" w:rsidRDefault="00BA3088" w:rsidP="009737A8">
      <w:pPr>
        <w:spacing w:line="480" w:lineRule="auto"/>
        <w:rPr>
          <w:rFonts w:ascii="Times New Roman" w:hAnsi="Times New Roman"/>
          <w:b/>
          <w:u w:val="single"/>
        </w:rPr>
      </w:pPr>
    </w:p>
    <w:p w14:paraId="26EB8720" w14:textId="2FC4EC3E" w:rsidR="00171CF4" w:rsidRPr="009737A8" w:rsidRDefault="00171CF4" w:rsidP="00171CF4">
      <w:pPr>
        <w:spacing w:line="480" w:lineRule="auto"/>
        <w:jc w:val="center"/>
        <w:rPr>
          <w:rFonts w:ascii="Times New Roman" w:hAnsi="Times New Roman"/>
        </w:rPr>
      </w:pPr>
      <w:r w:rsidRPr="009737A8">
        <w:rPr>
          <w:rFonts w:ascii="Times New Roman" w:hAnsi="Times New Roman"/>
          <w:b/>
          <w:u w:val="single"/>
        </w:rPr>
        <w:lastRenderedPageBreak/>
        <w:t>Post-Trial</w:t>
      </w:r>
      <w:r w:rsidR="007648BD" w:rsidRPr="009737A8">
        <w:rPr>
          <w:rFonts w:ascii="Times New Roman" w:hAnsi="Times New Roman"/>
          <w:b/>
          <w:u w:val="single"/>
        </w:rPr>
        <w:t xml:space="preserve"> Rights for Victims</w:t>
      </w:r>
    </w:p>
    <w:p w14:paraId="34AB9D35" w14:textId="2C04BD55" w:rsidR="00171CF4" w:rsidRPr="009737A8" w:rsidRDefault="00171CF4" w:rsidP="00171CF4">
      <w:pPr>
        <w:spacing w:line="480" w:lineRule="auto"/>
        <w:rPr>
          <w:rFonts w:ascii="Times New Roman" w:hAnsi="Times New Roman"/>
          <w:i/>
        </w:rPr>
      </w:pPr>
      <w:r w:rsidRPr="009737A8">
        <w:rPr>
          <w:rFonts w:ascii="Times New Roman" w:hAnsi="Times New Roman"/>
          <w:b/>
          <w:i/>
          <w:u w:val="single"/>
        </w:rPr>
        <w:t>Protecting the Victim</w:t>
      </w:r>
    </w:p>
    <w:p w14:paraId="36BAD824" w14:textId="45FBA695" w:rsidR="009737A8" w:rsidRDefault="00171CF4" w:rsidP="00171CF4">
      <w:pPr>
        <w:spacing w:line="480" w:lineRule="auto"/>
        <w:rPr>
          <w:rFonts w:ascii="Times New Roman" w:hAnsi="Times New Roman"/>
        </w:rPr>
      </w:pPr>
      <w:r>
        <w:rPr>
          <w:rFonts w:ascii="Times New Roman" w:hAnsi="Times New Roman"/>
        </w:rPr>
        <w:tab/>
        <w:t>Although some victims of crimes do not know their attackers, most have some sort of relationship—particularly in the case of sexual assault.</w:t>
      </w:r>
      <w:r w:rsidR="009737A8">
        <w:rPr>
          <w:rStyle w:val="EndnoteReference"/>
          <w:rFonts w:ascii="Times New Roman" w:hAnsi="Times New Roman"/>
        </w:rPr>
        <w:endnoteReference w:id="37"/>
      </w:r>
      <w:r w:rsidR="009737A8">
        <w:rPr>
          <w:rFonts w:ascii="Times New Roman" w:hAnsi="Times New Roman"/>
        </w:rPr>
        <w:t xml:space="preserve"> Some aggressors, disgruntled by the prospective punishment, may try to attack the victim or witnesses. In these cases, the government not only has an interest in prosecuting the aggressor, but also an interest in protecting the victim and witnesses. The federal government seeks to protect these crucial actors in a criminal case through legislation. </w:t>
      </w:r>
    </w:p>
    <w:p w14:paraId="2F1E8C38" w14:textId="28085DC0" w:rsidR="009737A8" w:rsidRDefault="009737A8" w:rsidP="00645DCD">
      <w:pPr>
        <w:spacing w:line="480" w:lineRule="auto"/>
        <w:ind w:firstLine="720"/>
        <w:rPr>
          <w:rFonts w:ascii="Times New Roman" w:hAnsi="Times New Roman"/>
        </w:rPr>
      </w:pPr>
      <w:r>
        <w:rPr>
          <w:rFonts w:ascii="Times New Roman" w:hAnsi="Times New Roman"/>
        </w:rPr>
        <w:t>The United States Congress enacted the Organized Crime Control Act of 1970,</w:t>
      </w:r>
      <w:r>
        <w:rPr>
          <w:rStyle w:val="EndnoteReference"/>
          <w:rFonts w:ascii="Times New Roman" w:hAnsi="Times New Roman"/>
        </w:rPr>
        <w:endnoteReference w:id="38"/>
      </w:r>
      <w:r>
        <w:rPr>
          <w:rFonts w:ascii="Times New Roman" w:hAnsi="Times New Roman"/>
        </w:rPr>
        <w:t xml:space="preserve"> which sought to eradicate organized crime by strengthening the government’s tools in the evidence-gathering process and by enacting stiffer sanctions for the accused.</w:t>
      </w:r>
      <w:r>
        <w:rPr>
          <w:rStyle w:val="EndnoteReference"/>
          <w:rFonts w:ascii="Times New Roman" w:hAnsi="Times New Roman"/>
        </w:rPr>
        <w:endnoteReference w:id="39"/>
      </w:r>
      <w:r>
        <w:rPr>
          <w:rFonts w:ascii="Times New Roman" w:hAnsi="Times New Roman"/>
        </w:rPr>
        <w:t xml:space="preserve"> This Act includes the Witness Security Program (WITSEC),</w:t>
      </w:r>
      <w:r>
        <w:rPr>
          <w:rStyle w:val="EndnoteReference"/>
          <w:rFonts w:ascii="Times New Roman" w:hAnsi="Times New Roman"/>
        </w:rPr>
        <w:endnoteReference w:id="40"/>
      </w:r>
      <w:r w:rsidRPr="00C47088">
        <w:rPr>
          <w:rFonts w:ascii="Times New Roman" w:hAnsi="Times New Roman"/>
        </w:rPr>
        <w:t xml:space="preserve"> </w:t>
      </w:r>
      <w:r>
        <w:rPr>
          <w:rFonts w:ascii="Times New Roman" w:hAnsi="Times New Roman"/>
        </w:rPr>
        <w:t>which protects threatened witnesses throughout the trial process and beyond.</w:t>
      </w:r>
      <w:r>
        <w:rPr>
          <w:rStyle w:val="EndnoteReference"/>
          <w:rFonts w:ascii="Times New Roman" w:hAnsi="Times New Roman"/>
        </w:rPr>
        <w:endnoteReference w:id="41"/>
      </w:r>
      <w:r>
        <w:rPr>
          <w:rFonts w:ascii="Times New Roman" w:hAnsi="Times New Roman"/>
        </w:rPr>
        <w:t xml:space="preserve"> For example, WITSEC provides threatened witnesses and victims with new identities, housing, and even employment.</w:t>
      </w:r>
      <w:r>
        <w:rPr>
          <w:rStyle w:val="EndnoteReference"/>
          <w:rFonts w:ascii="Times New Roman" w:hAnsi="Times New Roman"/>
        </w:rPr>
        <w:endnoteReference w:id="42"/>
      </w:r>
      <w:r>
        <w:rPr>
          <w:rFonts w:ascii="Times New Roman" w:hAnsi="Times New Roman"/>
        </w:rPr>
        <w:t xml:space="preserve"> Some states, such as California, have created their own witness protection programs that seek to fill in the gaps for crimes not covered by WITSEC.</w:t>
      </w:r>
      <w:r>
        <w:rPr>
          <w:rStyle w:val="EndnoteReference"/>
          <w:rFonts w:ascii="Times New Roman" w:hAnsi="Times New Roman"/>
        </w:rPr>
        <w:endnoteReference w:id="43"/>
      </w:r>
    </w:p>
    <w:p w14:paraId="41F60C3F" w14:textId="77777777" w:rsidR="009737A8" w:rsidRDefault="009737A8" w:rsidP="00171CF4">
      <w:pPr>
        <w:spacing w:line="480" w:lineRule="auto"/>
        <w:ind w:firstLine="720"/>
        <w:rPr>
          <w:rFonts w:ascii="Times New Roman" w:hAnsi="Times New Roman"/>
        </w:rPr>
      </w:pPr>
      <w:r>
        <w:rPr>
          <w:rFonts w:ascii="Times New Roman" w:hAnsi="Times New Roman"/>
        </w:rPr>
        <w:t>Amid the wave of bipartisan support for victims’ rights in the 1970s, WITSEC was supplemented by the Victim and Witness Protection Act (VWPA) of 1982.</w:t>
      </w:r>
      <w:r>
        <w:rPr>
          <w:rStyle w:val="EndnoteReference"/>
          <w:rFonts w:ascii="Times New Roman" w:hAnsi="Times New Roman"/>
        </w:rPr>
        <w:endnoteReference w:id="44"/>
      </w:r>
      <w:r>
        <w:rPr>
          <w:rFonts w:ascii="Times New Roman" w:hAnsi="Times New Roman"/>
        </w:rPr>
        <w:t xml:space="preserve">  The goal of this law was:</w:t>
      </w:r>
    </w:p>
    <w:p w14:paraId="1740A6CE" w14:textId="77777777" w:rsidR="009737A8" w:rsidRDefault="009737A8" w:rsidP="00EE3E0B">
      <w:pPr>
        <w:ind w:left="720" w:right="720"/>
        <w:rPr>
          <w:rFonts w:ascii="Times New Roman" w:hAnsi="Times New Roman"/>
        </w:rPr>
      </w:pPr>
      <w:r>
        <w:rPr>
          <w:rFonts w:ascii="Times New Roman" w:hAnsi="Times New Roman"/>
        </w:rPr>
        <w:t>[T]o enhance and protect the necessary role of crime victims and witnesses in the criminal justice process; to ensure that the Federal government does all that is possible within limits of available resources to assist victims and witnesses of crime without infringing on the constitutional rights of defendants; and to provide a model for legislation for state and local governments.</w:t>
      </w:r>
      <w:r>
        <w:rPr>
          <w:rStyle w:val="EndnoteReference"/>
          <w:rFonts w:ascii="Times New Roman" w:hAnsi="Times New Roman"/>
        </w:rPr>
        <w:endnoteReference w:id="45"/>
      </w:r>
    </w:p>
    <w:p w14:paraId="264BDF1D" w14:textId="77777777" w:rsidR="009737A8" w:rsidRDefault="009737A8" w:rsidP="00EE3E0B">
      <w:pPr>
        <w:ind w:left="720" w:right="720"/>
        <w:rPr>
          <w:rFonts w:ascii="Times New Roman" w:hAnsi="Times New Roman"/>
        </w:rPr>
      </w:pPr>
    </w:p>
    <w:p w14:paraId="734C1D6F" w14:textId="2798DB02" w:rsidR="009737A8" w:rsidRDefault="009737A8" w:rsidP="00171CF4">
      <w:pPr>
        <w:spacing w:line="480" w:lineRule="auto"/>
        <w:rPr>
          <w:rFonts w:ascii="Times New Roman" w:hAnsi="Times New Roman"/>
        </w:rPr>
      </w:pPr>
      <w:r>
        <w:rPr>
          <w:rFonts w:ascii="Times New Roman" w:hAnsi="Times New Roman"/>
        </w:rPr>
        <w:lastRenderedPageBreak/>
        <w:t>The VWPA broadened the definition of “witness” to include victims and expanded witness protection to cases beyond organized crime offenses.</w:t>
      </w:r>
      <w:r>
        <w:rPr>
          <w:rStyle w:val="EndnoteReference"/>
          <w:rFonts w:ascii="Times New Roman" w:hAnsi="Times New Roman"/>
        </w:rPr>
        <w:endnoteReference w:id="46"/>
      </w:r>
      <w:r>
        <w:rPr>
          <w:rFonts w:ascii="Times New Roman" w:hAnsi="Times New Roman"/>
        </w:rPr>
        <w:t xml:space="preserve"> It also included criminal penalties for intimidation of victims and witnesses, and lowered the threshold for the prosecution to establish that intimidation had occurred.</w:t>
      </w:r>
      <w:r>
        <w:rPr>
          <w:rStyle w:val="EndnoteReference"/>
          <w:rFonts w:ascii="Times New Roman" w:hAnsi="Times New Roman"/>
        </w:rPr>
        <w:endnoteReference w:id="47"/>
      </w:r>
    </w:p>
    <w:p w14:paraId="2E16B1EF" w14:textId="77777777" w:rsidR="00BA3088" w:rsidRPr="00721D6E" w:rsidRDefault="00BA3088" w:rsidP="00171CF4">
      <w:pPr>
        <w:spacing w:line="480" w:lineRule="auto"/>
        <w:rPr>
          <w:rFonts w:ascii="Times New Roman" w:hAnsi="Times New Roman"/>
        </w:rPr>
      </w:pPr>
    </w:p>
    <w:p w14:paraId="33792A1C" w14:textId="6E7CAFF8" w:rsidR="009737A8" w:rsidRPr="009737A8" w:rsidRDefault="009737A8" w:rsidP="00171CF4">
      <w:pPr>
        <w:spacing w:line="480" w:lineRule="auto"/>
        <w:rPr>
          <w:rFonts w:ascii="Times New Roman" w:hAnsi="Times New Roman"/>
          <w:i/>
        </w:rPr>
      </w:pPr>
      <w:r w:rsidRPr="009737A8">
        <w:rPr>
          <w:rFonts w:ascii="Times New Roman" w:hAnsi="Times New Roman"/>
          <w:b/>
          <w:i/>
          <w:u w:val="single"/>
        </w:rPr>
        <w:t>Compensating the Victim</w:t>
      </w:r>
    </w:p>
    <w:p w14:paraId="4A513090" w14:textId="77777777" w:rsidR="009737A8" w:rsidRDefault="009737A8" w:rsidP="00171CF4">
      <w:pPr>
        <w:spacing w:line="480" w:lineRule="auto"/>
        <w:rPr>
          <w:rFonts w:ascii="Times New Roman" w:hAnsi="Times New Roman"/>
        </w:rPr>
      </w:pPr>
      <w:r>
        <w:rPr>
          <w:rFonts w:ascii="Times New Roman" w:hAnsi="Times New Roman"/>
        </w:rPr>
        <w:tab/>
        <w:t>In the United States, victims in criminal cases can be compensated for their loss. This type of compensation is known as “restitution.”</w:t>
      </w:r>
    </w:p>
    <w:p w14:paraId="27C0ED97" w14:textId="77777777" w:rsidR="009737A8" w:rsidRDefault="009737A8" w:rsidP="00171CF4">
      <w:pPr>
        <w:spacing w:line="480" w:lineRule="auto"/>
        <w:rPr>
          <w:rFonts w:ascii="Times New Roman" w:hAnsi="Times New Roman"/>
        </w:rPr>
      </w:pPr>
      <w:r>
        <w:rPr>
          <w:rFonts w:ascii="Times New Roman" w:hAnsi="Times New Roman"/>
        </w:rPr>
        <w:tab/>
        <w:t>Restitution in the criminal context refers to compensation “paid by a criminal to a victim . . . ordered as part of a criminal sentence or as a condition of probation."</w:t>
      </w:r>
      <w:r>
        <w:rPr>
          <w:rStyle w:val="EndnoteReference"/>
          <w:rFonts w:ascii="Times New Roman" w:hAnsi="Times New Roman"/>
        </w:rPr>
        <w:endnoteReference w:id="48"/>
      </w:r>
      <w:r>
        <w:rPr>
          <w:rFonts w:ascii="Times New Roman" w:hAnsi="Times New Roman"/>
        </w:rPr>
        <w:t xml:space="preserve"> Criminal restitution serves a dual purpose: to prevent unjust enrichment to the defendant by financially restoring crime victims, and to rehabilitate the defendant.</w:t>
      </w:r>
      <w:r>
        <w:rPr>
          <w:rStyle w:val="EndnoteReference"/>
          <w:rFonts w:ascii="Times New Roman" w:hAnsi="Times New Roman"/>
        </w:rPr>
        <w:endnoteReference w:id="49"/>
      </w:r>
      <w:r>
        <w:rPr>
          <w:rFonts w:ascii="Times New Roman" w:hAnsi="Times New Roman"/>
        </w:rPr>
        <w:t xml:space="preserve">  In the United States, this type of remedy for a crime victim is a fairly recent concept. It developed from its tort-based roots during the same 1970s victims’ rights movement that led to the passage of victim-friendly legislation on the federal and state level.</w:t>
      </w:r>
      <w:r>
        <w:rPr>
          <w:rStyle w:val="EndnoteReference"/>
          <w:rFonts w:ascii="Times New Roman" w:hAnsi="Times New Roman"/>
        </w:rPr>
        <w:endnoteReference w:id="50"/>
      </w:r>
    </w:p>
    <w:p w14:paraId="03F8AB8E" w14:textId="35440ACD" w:rsidR="009737A8" w:rsidRDefault="009737A8" w:rsidP="00171CF4">
      <w:pPr>
        <w:spacing w:line="480" w:lineRule="auto"/>
        <w:rPr>
          <w:rFonts w:ascii="Times New Roman" w:hAnsi="Times New Roman"/>
          <w:color w:val="auto"/>
        </w:rPr>
      </w:pPr>
      <w:r>
        <w:rPr>
          <w:rFonts w:ascii="Times New Roman" w:hAnsi="Times New Roman"/>
        </w:rPr>
        <w:tab/>
        <w:t>On the federal lev</w:t>
      </w:r>
      <w:r w:rsidR="00E75BA9">
        <w:rPr>
          <w:rFonts w:ascii="Times New Roman" w:hAnsi="Times New Roman"/>
        </w:rPr>
        <w:t>el, several provisions of the United States</w:t>
      </w:r>
      <w:r>
        <w:rPr>
          <w:rFonts w:ascii="Times New Roman" w:hAnsi="Times New Roman"/>
        </w:rPr>
        <w:t xml:space="preserve"> Code have made restitution available to victims of crime. The VWPA, in addition to protecting witnesses and victims from future harassment, authorized restitution for crime victims so long as “its imposition [does] not unduly complicate or prolong the sentencing process.”</w:t>
      </w:r>
      <w:r>
        <w:rPr>
          <w:rStyle w:val="EndnoteReference"/>
          <w:rFonts w:ascii="Times New Roman" w:hAnsi="Times New Roman"/>
        </w:rPr>
        <w:endnoteReference w:id="51"/>
      </w:r>
      <w:r>
        <w:rPr>
          <w:rFonts w:ascii="Times New Roman" w:hAnsi="Times New Roman"/>
        </w:rPr>
        <w:t xml:space="preserve"> Before this Act, judges could only order restitution as a condition of probation.</w:t>
      </w:r>
      <w:r>
        <w:rPr>
          <w:rStyle w:val="EndnoteReference"/>
          <w:rFonts w:ascii="Times New Roman" w:hAnsi="Times New Roman"/>
        </w:rPr>
        <w:endnoteReference w:id="52"/>
      </w:r>
      <w:r>
        <w:rPr>
          <w:rFonts w:ascii="Times New Roman" w:hAnsi="Times New Roman"/>
        </w:rPr>
        <w:t xml:space="preserve"> The federal restitution structure remained largely intact until Congress passed the Mandatory Victims Restitution Act of 1996 (MVRA)</w:t>
      </w:r>
      <w:r>
        <w:rPr>
          <w:rFonts w:ascii="Times New Roman" w:hAnsi="Times New Roman"/>
          <w:color w:val="auto"/>
        </w:rPr>
        <w:t>.</w:t>
      </w:r>
      <w:r>
        <w:rPr>
          <w:rStyle w:val="EndnoteReference"/>
          <w:rFonts w:ascii="Times New Roman" w:hAnsi="Times New Roman"/>
          <w:color w:val="auto"/>
        </w:rPr>
        <w:endnoteReference w:id="53"/>
      </w:r>
      <w:r>
        <w:rPr>
          <w:rFonts w:ascii="Times New Roman" w:hAnsi="Times New Roman"/>
          <w:color w:val="auto"/>
        </w:rPr>
        <w:t xml:space="preserve"> The MVRA, passed by Congress with the belief that crime victims were inadequately compensated under the VWPA,</w:t>
      </w:r>
      <w:r>
        <w:rPr>
          <w:rStyle w:val="EndnoteReference"/>
          <w:rFonts w:ascii="Times New Roman" w:hAnsi="Times New Roman"/>
          <w:color w:val="auto"/>
        </w:rPr>
        <w:endnoteReference w:id="54"/>
      </w:r>
      <w:r>
        <w:rPr>
          <w:rFonts w:ascii="Times New Roman" w:hAnsi="Times New Roman"/>
          <w:color w:val="auto"/>
        </w:rPr>
        <w:t xml:space="preserve"> expanded the </w:t>
      </w:r>
      <w:r>
        <w:rPr>
          <w:rFonts w:ascii="Times New Roman" w:hAnsi="Times New Roman"/>
          <w:color w:val="auto"/>
        </w:rPr>
        <w:lastRenderedPageBreak/>
        <w:t xml:space="preserve">instances in which restitution </w:t>
      </w:r>
      <w:r w:rsidR="00360469">
        <w:rPr>
          <w:rFonts w:ascii="Times New Roman" w:hAnsi="Times New Roman"/>
          <w:color w:val="auto"/>
        </w:rPr>
        <w:t>is</w:t>
      </w:r>
      <w:r>
        <w:rPr>
          <w:rFonts w:ascii="Times New Roman" w:hAnsi="Times New Roman"/>
          <w:color w:val="auto"/>
        </w:rPr>
        <w:t xml:space="preserve"> available. In fact, the MVRA made restitution </w:t>
      </w:r>
      <w:r>
        <w:rPr>
          <w:rFonts w:ascii="Times New Roman" w:hAnsi="Times New Roman"/>
          <w:i/>
          <w:color w:val="auto"/>
        </w:rPr>
        <w:t>mandatory</w:t>
      </w:r>
      <w:r>
        <w:rPr>
          <w:rFonts w:ascii="Times New Roman" w:hAnsi="Times New Roman"/>
          <w:color w:val="auto"/>
        </w:rPr>
        <w:t xml:space="preserve"> for certain crimes, particularly those in “which the victim suffered an identifiable monetary loss.”</w:t>
      </w:r>
      <w:r>
        <w:rPr>
          <w:rStyle w:val="EndnoteReference"/>
          <w:rFonts w:ascii="Times New Roman" w:hAnsi="Times New Roman"/>
          <w:color w:val="auto"/>
        </w:rPr>
        <w:endnoteReference w:id="55"/>
      </w:r>
      <w:r>
        <w:rPr>
          <w:rFonts w:ascii="Times New Roman" w:hAnsi="Times New Roman"/>
          <w:color w:val="auto"/>
        </w:rPr>
        <w:t xml:space="preserve"> The crimes in which mandatory restitution is required include those in which damage to or loss of property occurs, and those involving bodily injury to the victim.</w:t>
      </w:r>
    </w:p>
    <w:p w14:paraId="4B1E09DF" w14:textId="67BCAA29" w:rsidR="00C27AE6" w:rsidRPr="00A77001" w:rsidRDefault="009737A8" w:rsidP="00A77001">
      <w:pPr>
        <w:spacing w:line="480" w:lineRule="auto"/>
        <w:rPr>
          <w:rFonts w:ascii="Times New Roman" w:hAnsi="Times New Roman"/>
          <w:color w:val="auto"/>
        </w:rPr>
      </w:pPr>
      <w:r>
        <w:rPr>
          <w:rFonts w:ascii="Times New Roman" w:hAnsi="Times New Roman"/>
          <w:color w:val="auto"/>
        </w:rPr>
        <w:tab/>
        <w:t>The amount of restitution available to a victim differs—not all restitution awards</w:t>
      </w:r>
      <w:r w:rsidR="009E6163">
        <w:rPr>
          <w:rFonts w:ascii="Times New Roman" w:hAnsi="Times New Roman"/>
          <w:color w:val="auto"/>
        </w:rPr>
        <w:t xml:space="preserve"> are</w:t>
      </w:r>
      <w:r>
        <w:rPr>
          <w:rFonts w:ascii="Times New Roman" w:hAnsi="Times New Roman"/>
          <w:color w:val="auto"/>
        </w:rPr>
        <w:t xml:space="preserve"> equal. Criminals are, of course, not always of the same economic status. A large restitution payment may be much easier for one criminal to pay than another. Although a defendant’s ability to pay is a factor that a court must consider when making a judgment on restitution, it does not by any means act as a bar to the judgment.</w:t>
      </w:r>
      <w:r>
        <w:rPr>
          <w:rStyle w:val="EndnoteReference"/>
          <w:rFonts w:ascii="Times New Roman" w:hAnsi="Times New Roman"/>
          <w:color w:val="auto"/>
        </w:rPr>
        <w:endnoteReference w:id="56"/>
      </w:r>
      <w:r>
        <w:rPr>
          <w:rFonts w:ascii="Times New Roman" w:hAnsi="Times New Roman"/>
          <w:color w:val="auto"/>
        </w:rPr>
        <w:t xml:space="preserve"> Ultimately, this consideration has the “practical effect of ensuring that restitution judgments d[o] not exceed offenders’ ability to pay.”</w:t>
      </w:r>
      <w:r>
        <w:rPr>
          <w:rStyle w:val="EndnoteReference"/>
          <w:rFonts w:ascii="Times New Roman" w:hAnsi="Times New Roman"/>
          <w:color w:val="auto"/>
        </w:rPr>
        <w:endnoteReference w:id="57"/>
      </w:r>
    </w:p>
    <w:p w14:paraId="11168878" w14:textId="77777777" w:rsidR="00BA3CBB" w:rsidRDefault="00BA3CBB" w:rsidP="00A77001">
      <w:pPr>
        <w:spacing w:line="480" w:lineRule="auto"/>
      </w:pPr>
    </w:p>
    <w:p w14:paraId="6F0A1039" w14:textId="77777777" w:rsidR="00BA3088" w:rsidRPr="00C66295" w:rsidRDefault="00BA3088" w:rsidP="00BA3088">
      <w:pPr>
        <w:spacing w:line="480" w:lineRule="auto"/>
        <w:jc w:val="center"/>
        <w:rPr>
          <w:rFonts w:ascii="Times New Roman" w:eastAsia="Times New Roman" w:hAnsi="Times New Roman"/>
          <w:b/>
          <w:u w:val="single"/>
        </w:rPr>
      </w:pPr>
      <w:r w:rsidRPr="00C66295">
        <w:rPr>
          <w:rFonts w:ascii="Times New Roman" w:eastAsia="Times New Roman" w:hAnsi="Times New Roman"/>
          <w:b/>
          <w:u w:val="single"/>
        </w:rPr>
        <w:t>One State’s Approach: The Rights of a Crime Victim in Minnesota</w:t>
      </w:r>
    </w:p>
    <w:p w14:paraId="701D5403" w14:textId="77777777" w:rsidR="00BA3088" w:rsidRPr="00005FC0" w:rsidRDefault="00BA3088" w:rsidP="00BA3088">
      <w:pPr>
        <w:spacing w:line="480" w:lineRule="auto"/>
        <w:ind w:firstLine="720"/>
        <w:rPr>
          <w:rFonts w:ascii="Times New Roman" w:eastAsia="Times New Roman" w:hAnsi="Times New Roman"/>
        </w:rPr>
      </w:pPr>
      <w:r w:rsidRPr="00005FC0">
        <w:rPr>
          <w:rFonts w:ascii="Times New Roman" w:eastAsia="Times New Roman" w:hAnsi="Times New Roman"/>
        </w:rPr>
        <w:t xml:space="preserve">Crime victims in Minnesota have extensive rights—far beyond the federal rights of the CVRA. These rights are briefly detailed below to give a comprehensive picture of a victim’s rights and resources under </w:t>
      </w:r>
      <w:r w:rsidRPr="00B02F96">
        <w:rPr>
          <w:rFonts w:ascii="Times New Roman" w:eastAsia="Times New Roman" w:hAnsi="Times New Roman"/>
        </w:rPr>
        <w:t>Minnesota state law.</w:t>
      </w:r>
      <w:r>
        <w:rPr>
          <w:rStyle w:val="EndnoteReference"/>
          <w:rFonts w:ascii="Times New Roman" w:eastAsia="Times New Roman" w:hAnsi="Times New Roman"/>
        </w:rPr>
        <w:endnoteReference w:id="58"/>
      </w:r>
      <w:r w:rsidRPr="00005FC0">
        <w:rPr>
          <w:rFonts w:ascii="Times New Roman" w:eastAsia="Times New Roman" w:hAnsi="Times New Roman"/>
        </w:rPr>
        <w:t xml:space="preserve"> </w:t>
      </w:r>
    </w:p>
    <w:p w14:paraId="302CFA4A" w14:textId="77777777" w:rsidR="00BA3088" w:rsidRPr="00005FC0" w:rsidRDefault="00BA3088" w:rsidP="00BA3088">
      <w:pPr>
        <w:numPr>
          <w:ilvl w:val="0"/>
          <w:numId w:val="3"/>
        </w:numPr>
        <w:spacing w:line="480" w:lineRule="auto"/>
        <w:rPr>
          <w:rFonts w:ascii="Times New Roman" w:eastAsia="Times New Roman" w:hAnsi="Times New Roman"/>
        </w:rPr>
      </w:pPr>
      <w:r w:rsidRPr="00005FC0">
        <w:rPr>
          <w:rFonts w:ascii="Times New Roman" w:eastAsia="Times New Roman" w:hAnsi="Times New Roman"/>
        </w:rPr>
        <w:t xml:space="preserve">Victims have the right to be notified of: </w:t>
      </w:r>
    </w:p>
    <w:p w14:paraId="488AC4D2"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The prosecution process and their right to participate in the process</w:t>
      </w:r>
    </w:p>
    <w:p w14:paraId="0EAD8143"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 xml:space="preserve">The nearest crime victim assistance program </w:t>
      </w:r>
    </w:p>
    <w:p w14:paraId="31449A11"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The right to apply for financial compensation for non-property losses caused by a violent crime</w:t>
      </w:r>
    </w:p>
    <w:p w14:paraId="2FD756E4"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Any proposed pretrial diversion referral</w:t>
      </w:r>
    </w:p>
    <w:p w14:paraId="732D4510"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lastRenderedPageBreak/>
        <w:t>Any changes to a hearing schedule where the victim is testifying</w:t>
      </w:r>
    </w:p>
    <w:p w14:paraId="2ABF67A8"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The right to ask the offender for restitution if the offender is convicted</w:t>
      </w:r>
    </w:p>
    <w:p w14:paraId="0BF860CA"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The details of any proposed plea bargains</w:t>
      </w:r>
    </w:p>
    <w:p w14:paraId="52A5E72B"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The outcome of court proceedings</w:t>
      </w:r>
    </w:p>
    <w:p w14:paraId="41A248E5"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Any appeal the defendant makes and the result of that appeal</w:t>
      </w:r>
    </w:p>
    <w:p w14:paraId="09D33EBA"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Any proposed modification to sentences in felony or violent crimes, and the right to give the court input</w:t>
      </w:r>
    </w:p>
    <w:p w14:paraId="081A2EA1" w14:textId="77777777" w:rsidR="00BA3088" w:rsidRPr="00005FC0" w:rsidRDefault="00BA3088" w:rsidP="00BA3088">
      <w:pPr>
        <w:numPr>
          <w:ilvl w:val="0"/>
          <w:numId w:val="2"/>
        </w:numPr>
        <w:spacing w:line="480" w:lineRule="auto"/>
        <w:rPr>
          <w:rFonts w:ascii="Times New Roman" w:eastAsia="Times New Roman" w:hAnsi="Times New Roman"/>
        </w:rPr>
      </w:pPr>
      <w:r w:rsidRPr="00005FC0">
        <w:rPr>
          <w:rFonts w:ascii="Times New Roman" w:eastAsia="Times New Roman" w:hAnsi="Times New Roman"/>
        </w:rPr>
        <w:t xml:space="preserve">The right to petition for expungement </w:t>
      </w:r>
    </w:p>
    <w:p w14:paraId="6F7B8DC8" w14:textId="77777777" w:rsidR="00BA3088" w:rsidRPr="00005FC0" w:rsidRDefault="00BA3088" w:rsidP="00BA3088">
      <w:pPr>
        <w:numPr>
          <w:ilvl w:val="0"/>
          <w:numId w:val="3"/>
        </w:numPr>
        <w:spacing w:line="480" w:lineRule="auto"/>
        <w:rPr>
          <w:rFonts w:ascii="Times New Roman" w:eastAsia="Times New Roman" w:hAnsi="Times New Roman"/>
        </w:rPr>
      </w:pPr>
      <w:r w:rsidRPr="00005FC0">
        <w:rPr>
          <w:rFonts w:ascii="Times New Roman" w:eastAsia="Times New Roman" w:hAnsi="Times New Roman"/>
        </w:rPr>
        <w:t xml:space="preserve">A victim’s right to participate in the process covers:  </w:t>
      </w:r>
    </w:p>
    <w:p w14:paraId="71FB33CE"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Participating in the pretrial diversion decision</w:t>
      </w:r>
    </w:p>
    <w:p w14:paraId="4CFF534E"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Asking the prosecutor to petition the court for a speedy trial</w:t>
      </w:r>
    </w:p>
    <w:p w14:paraId="7A2BBFB5"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Being notified of, and being able to attend, plea and sentencing hearings</w:t>
      </w:r>
    </w:p>
    <w:p w14:paraId="7B6683ED"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The right to object to proposed plea agreements at court proceedings</w:t>
      </w:r>
    </w:p>
    <w:p w14:paraId="26E020FF"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Discussing the crime’s impact on the victim’s life at the presentence investigation</w:t>
      </w:r>
    </w:p>
    <w:p w14:paraId="7F5EA0E3"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Providing a written or oral victim impact statement at a sentencing hearing</w:t>
      </w:r>
    </w:p>
    <w:p w14:paraId="6C4F24E4" w14:textId="77777777" w:rsidR="00BA3088" w:rsidRPr="00005FC0" w:rsidRDefault="00BA3088" w:rsidP="00BA3088">
      <w:pPr>
        <w:numPr>
          <w:ilvl w:val="0"/>
          <w:numId w:val="3"/>
        </w:numPr>
        <w:spacing w:line="480" w:lineRule="auto"/>
        <w:rPr>
          <w:rFonts w:ascii="Times New Roman" w:eastAsia="Times New Roman" w:hAnsi="Times New Roman"/>
        </w:rPr>
      </w:pPr>
      <w:r w:rsidRPr="00005FC0">
        <w:rPr>
          <w:rFonts w:ascii="Times New Roman" w:eastAsia="Times New Roman" w:hAnsi="Times New Roman"/>
        </w:rPr>
        <w:t xml:space="preserve">A victim’s privacy and protection rights include: </w:t>
      </w:r>
    </w:p>
    <w:p w14:paraId="3347258E"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Having notice and being able to give input at a bail hearing for a violent or domestic abuse crime</w:t>
      </w:r>
    </w:p>
    <w:p w14:paraId="4B7893A0"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A safe waiting area or safety precautions against the defendant and/or the defendant’s supporters in the court room</w:t>
      </w:r>
    </w:p>
    <w:p w14:paraId="6BC42F33"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Report</w:t>
      </w:r>
      <w:r>
        <w:rPr>
          <w:rFonts w:ascii="Times New Roman" w:eastAsia="Times New Roman" w:hAnsi="Times New Roman"/>
        </w:rPr>
        <w:t>ing</w:t>
      </w:r>
      <w:r w:rsidRPr="00005FC0">
        <w:rPr>
          <w:rFonts w:ascii="Times New Roman" w:eastAsia="Times New Roman" w:hAnsi="Times New Roman"/>
        </w:rPr>
        <w:t xml:space="preserve"> noncompliance with restraining orders and suspected witness tampering</w:t>
      </w:r>
    </w:p>
    <w:p w14:paraId="60539BB4"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lastRenderedPageBreak/>
        <w:t>Having personal contact information withheld in court proceedings and from the defendant</w:t>
      </w:r>
    </w:p>
    <w:p w14:paraId="0289430D"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Being able to take reasonable time off work to attend court proceedings</w:t>
      </w:r>
    </w:p>
    <w:p w14:paraId="66DE0A75"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Confidentially asking the court to order an HIV test of an offender in a sexual assault or violent crime</w:t>
      </w:r>
    </w:p>
    <w:p w14:paraId="6F44284F"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Asking a court to prevent the defendant from disposing a deceased victim’s belongings in a homicide case</w:t>
      </w:r>
    </w:p>
    <w:p w14:paraId="24CB4E92" w14:textId="77777777" w:rsidR="00BA3088" w:rsidRPr="00005FC0" w:rsidRDefault="00BA3088" w:rsidP="00BA3088">
      <w:pPr>
        <w:numPr>
          <w:ilvl w:val="0"/>
          <w:numId w:val="3"/>
        </w:numPr>
        <w:spacing w:line="480" w:lineRule="auto"/>
        <w:rPr>
          <w:rFonts w:ascii="Times New Roman" w:eastAsia="Times New Roman" w:hAnsi="Times New Roman"/>
        </w:rPr>
      </w:pPr>
      <w:r w:rsidRPr="00005FC0">
        <w:rPr>
          <w:rFonts w:ascii="Times New Roman" w:eastAsia="Times New Roman" w:hAnsi="Times New Roman"/>
        </w:rPr>
        <w:t xml:space="preserve">Domestic violence, sexual assault, and stalking victims have additional rights such as: </w:t>
      </w:r>
    </w:p>
    <w:p w14:paraId="2691F1DC"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 xml:space="preserve">The prosecutor notifying </w:t>
      </w:r>
      <w:r>
        <w:rPr>
          <w:rFonts w:ascii="Times New Roman" w:eastAsia="Times New Roman" w:hAnsi="Times New Roman"/>
        </w:rPr>
        <w:t>the victim</w:t>
      </w:r>
      <w:r w:rsidRPr="00005FC0">
        <w:rPr>
          <w:rFonts w:ascii="Times New Roman" w:eastAsia="Times New Roman" w:hAnsi="Times New Roman"/>
        </w:rPr>
        <w:t xml:space="preserve"> of decisions to dismiss a case, and the information to seek a free restraining order</w:t>
      </w:r>
    </w:p>
    <w:p w14:paraId="47F84EF3"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 xml:space="preserve">Terminating a lease without financial consequences in the case of a violent situation </w:t>
      </w:r>
    </w:p>
    <w:p w14:paraId="1BF9ABCD"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Asking the law enforcement agency for a free copy of a domestic abuse report filed on the case</w:t>
      </w:r>
    </w:p>
    <w:p w14:paraId="5440A40C"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Asking for a free sexual assault medical examination in the case of a sexual assault crime</w:t>
      </w:r>
    </w:p>
    <w:p w14:paraId="4EE252A0"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 xml:space="preserve">Refusing a polygraph exam for a sexual assault crime </w:t>
      </w:r>
    </w:p>
    <w:p w14:paraId="5B889E0A" w14:textId="77777777" w:rsidR="00BA3088" w:rsidRPr="00005FC0" w:rsidRDefault="00BA3088" w:rsidP="00BA3088">
      <w:pPr>
        <w:numPr>
          <w:ilvl w:val="0"/>
          <w:numId w:val="3"/>
        </w:numPr>
        <w:spacing w:line="480" w:lineRule="auto"/>
        <w:rPr>
          <w:rFonts w:ascii="Times New Roman" w:eastAsia="Times New Roman" w:hAnsi="Times New Roman"/>
        </w:rPr>
      </w:pPr>
      <w:r w:rsidRPr="00005FC0">
        <w:rPr>
          <w:rFonts w:ascii="Times New Roman" w:eastAsia="Times New Roman" w:hAnsi="Times New Roman"/>
        </w:rPr>
        <w:t xml:space="preserve">Regarding financial compensation: </w:t>
      </w:r>
    </w:p>
    <w:p w14:paraId="2323BE46" w14:textId="77777777" w:rsidR="00BA3088" w:rsidRPr="00005FC0" w:rsidRDefault="00BA3088" w:rsidP="00BA3088">
      <w:pPr>
        <w:numPr>
          <w:ilvl w:val="0"/>
          <w:numId w:val="4"/>
        </w:numPr>
        <w:spacing w:line="480" w:lineRule="auto"/>
        <w:rPr>
          <w:rFonts w:ascii="Times New Roman" w:eastAsia="Times New Roman" w:hAnsi="Times New Roman"/>
        </w:rPr>
      </w:pPr>
      <w:r>
        <w:rPr>
          <w:rFonts w:ascii="Times New Roman" w:eastAsia="Times New Roman" w:hAnsi="Times New Roman"/>
        </w:rPr>
        <w:t>A c</w:t>
      </w:r>
      <w:r w:rsidRPr="00005FC0">
        <w:rPr>
          <w:rFonts w:ascii="Times New Roman" w:eastAsia="Times New Roman" w:hAnsi="Times New Roman"/>
        </w:rPr>
        <w:t xml:space="preserve">ourt can order restitution on its own </w:t>
      </w:r>
    </w:p>
    <w:p w14:paraId="2D4758B3" w14:textId="77777777" w:rsidR="00BA3088" w:rsidRPr="00005FC0" w:rsidRDefault="00BA3088" w:rsidP="00BA3088">
      <w:pPr>
        <w:numPr>
          <w:ilvl w:val="0"/>
          <w:numId w:val="4"/>
        </w:numPr>
        <w:spacing w:line="480" w:lineRule="auto"/>
        <w:rPr>
          <w:rFonts w:ascii="Times New Roman" w:eastAsia="Times New Roman" w:hAnsi="Times New Roman"/>
        </w:rPr>
      </w:pPr>
      <w:r>
        <w:rPr>
          <w:rFonts w:ascii="Times New Roman" w:eastAsia="Times New Roman" w:hAnsi="Times New Roman"/>
        </w:rPr>
        <w:t>A c</w:t>
      </w:r>
      <w:r w:rsidRPr="00005FC0">
        <w:rPr>
          <w:rFonts w:ascii="Times New Roman" w:eastAsia="Times New Roman" w:hAnsi="Times New Roman"/>
        </w:rPr>
        <w:t xml:space="preserve">ourt has broad discretion in structuring restitution </w:t>
      </w:r>
    </w:p>
    <w:p w14:paraId="252299A1"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A victim can ask for non-property expenses related to a violent crime</w:t>
      </w:r>
    </w:p>
    <w:p w14:paraId="3B6C7DB8"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lastRenderedPageBreak/>
        <w:t>A victim can ask the court for personal expenses related to the crime if the defendant is convicted</w:t>
      </w:r>
    </w:p>
    <w:p w14:paraId="4C1FD994"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A victim can file a civil case against the defendant</w:t>
      </w:r>
    </w:p>
    <w:p w14:paraId="7CEAE585" w14:textId="77777777" w:rsidR="00BA3088" w:rsidRPr="00005FC0" w:rsidRDefault="00BA3088" w:rsidP="00BA3088">
      <w:pPr>
        <w:numPr>
          <w:ilvl w:val="0"/>
          <w:numId w:val="4"/>
        </w:numPr>
        <w:spacing w:line="480" w:lineRule="auto"/>
        <w:rPr>
          <w:rFonts w:ascii="Times New Roman" w:eastAsia="Times New Roman" w:hAnsi="Times New Roman"/>
        </w:rPr>
      </w:pPr>
      <w:r w:rsidRPr="00005FC0">
        <w:rPr>
          <w:rFonts w:ascii="Times New Roman" w:eastAsia="Times New Roman" w:hAnsi="Times New Roman"/>
        </w:rPr>
        <w:t xml:space="preserve">A victim can ask a convicted defendant’s probation officer to set a court hearing if the defendant fails to pay court ordered restitution </w:t>
      </w:r>
    </w:p>
    <w:p w14:paraId="0D05DDA4" w14:textId="6359CAA0" w:rsidR="00BA3088" w:rsidRDefault="00BA3088" w:rsidP="00A77001">
      <w:pPr>
        <w:spacing w:line="480" w:lineRule="auto"/>
      </w:pPr>
      <w:r w:rsidRPr="00005FC0">
        <w:rPr>
          <w:rFonts w:ascii="Times New Roman" w:eastAsia="Times New Roman" w:hAnsi="Times New Roman"/>
        </w:rPr>
        <w:t xml:space="preserve">The Commissioner of Public Safety may give local officials grants to help victims with expenses of relocation or creating a new identity  </w:t>
      </w:r>
    </w:p>
    <w:p w14:paraId="3514839E" w14:textId="77777777" w:rsidR="00BA3088" w:rsidRDefault="00BA3088" w:rsidP="00A77001">
      <w:pPr>
        <w:spacing w:line="480" w:lineRule="auto"/>
      </w:pPr>
    </w:p>
    <w:p w14:paraId="1ED1F65E" w14:textId="0EA4D695" w:rsidR="009737A8" w:rsidRPr="00A77001" w:rsidRDefault="00A77001" w:rsidP="00A77001">
      <w:pPr>
        <w:spacing w:line="480" w:lineRule="auto"/>
        <w:jc w:val="center"/>
        <w:rPr>
          <w:rFonts w:ascii="Times New Roman" w:hAnsi="Times New Roman"/>
        </w:rPr>
      </w:pPr>
      <w:r>
        <w:rPr>
          <w:rFonts w:ascii="Times New Roman" w:hAnsi="Times New Roman"/>
          <w:b/>
          <w:u w:val="single"/>
        </w:rPr>
        <w:t>Conclusion</w:t>
      </w:r>
    </w:p>
    <w:p w14:paraId="6A97E852" w14:textId="19F561CF" w:rsidR="009737A8" w:rsidRPr="002D0367" w:rsidRDefault="002B5EA0" w:rsidP="00D23CFE">
      <w:pPr>
        <w:spacing w:line="480" w:lineRule="auto"/>
        <w:ind w:firstLine="720"/>
        <w:rPr>
          <w:rFonts w:ascii="Times New Roman" w:hAnsi="Times New Roman"/>
        </w:rPr>
      </w:pPr>
      <w:r>
        <w:rPr>
          <w:rFonts w:ascii="Times New Roman" w:hAnsi="Times New Roman"/>
        </w:rPr>
        <w:t xml:space="preserve">The United States government of today is not merely concerned with prosecuting criminals, but also the welfare of victims. Over the past fifty years, </w:t>
      </w:r>
      <w:r w:rsidR="00D23CFE">
        <w:rPr>
          <w:rFonts w:ascii="Times New Roman" w:hAnsi="Times New Roman"/>
        </w:rPr>
        <w:t xml:space="preserve">federal and state </w:t>
      </w:r>
      <w:r>
        <w:rPr>
          <w:rFonts w:ascii="Times New Roman" w:hAnsi="Times New Roman"/>
        </w:rPr>
        <w:t>government</w:t>
      </w:r>
      <w:r w:rsidR="00D23CFE">
        <w:rPr>
          <w:rFonts w:ascii="Times New Roman" w:hAnsi="Times New Roman"/>
        </w:rPr>
        <w:t>s have</w:t>
      </w:r>
      <w:r>
        <w:rPr>
          <w:rFonts w:ascii="Times New Roman" w:hAnsi="Times New Roman"/>
        </w:rPr>
        <w:t xml:space="preserve"> expanded resources and implemented legislation that </w:t>
      </w:r>
      <w:r w:rsidR="006A1FA9">
        <w:rPr>
          <w:rFonts w:ascii="Times New Roman" w:hAnsi="Times New Roman"/>
        </w:rPr>
        <w:t xml:space="preserve">help </w:t>
      </w:r>
      <w:r w:rsidR="00D23CFE">
        <w:rPr>
          <w:rFonts w:ascii="Times New Roman" w:hAnsi="Times New Roman"/>
        </w:rPr>
        <w:t xml:space="preserve">restore a victim on a legal, economic, and emotional level. </w:t>
      </w:r>
      <w:r>
        <w:rPr>
          <w:rFonts w:ascii="Times New Roman" w:hAnsi="Times New Roman"/>
        </w:rPr>
        <w:t>And j</w:t>
      </w:r>
      <w:r w:rsidR="002D0367">
        <w:rPr>
          <w:rFonts w:ascii="Times New Roman" w:hAnsi="Times New Roman"/>
        </w:rPr>
        <w:t>udging by recent acts of Congress,</w:t>
      </w:r>
      <w:r>
        <w:rPr>
          <w:rStyle w:val="EndnoteReference"/>
          <w:rFonts w:ascii="Times New Roman" w:hAnsi="Times New Roman"/>
        </w:rPr>
        <w:endnoteReference w:id="59"/>
      </w:r>
      <w:r w:rsidR="002D0367">
        <w:rPr>
          <w:rFonts w:ascii="Times New Roman" w:hAnsi="Times New Roman"/>
        </w:rPr>
        <w:t xml:space="preserve"> it is clear that the sentiment behind the movement for extending victims’ rights did not dissolve after the 1980s. There is good reason to believe that victims of crimes will continue to be recognized, and their rights will continue to be enforced.</w:t>
      </w:r>
    </w:p>
    <w:p w14:paraId="287E2B4D" w14:textId="77777777" w:rsidR="00BA3CBB" w:rsidRDefault="00BA3CBB"/>
    <w:p w14:paraId="0B4FFC4C" w14:textId="77777777" w:rsidR="00BA3CBB" w:rsidRDefault="00BA3CBB"/>
    <w:sectPr w:rsidR="00BA3CBB" w:rsidSect="00343FCC">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B39F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F9BD7" w14:textId="77777777" w:rsidR="006A1FA9" w:rsidRDefault="006A1FA9" w:rsidP="00171CF4">
      <w:r>
        <w:separator/>
      </w:r>
    </w:p>
  </w:endnote>
  <w:endnote w:type="continuationSeparator" w:id="0">
    <w:p w14:paraId="5E740A38" w14:textId="77777777" w:rsidR="006A1FA9" w:rsidRDefault="006A1FA9" w:rsidP="00171CF4">
      <w:r>
        <w:continuationSeparator/>
      </w:r>
    </w:p>
  </w:endnote>
  <w:endnote w:id="1">
    <w:p w14:paraId="541455F6" w14:textId="2E89C726"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See e.g.</w:t>
      </w:r>
      <w:r w:rsidRPr="00005FC0">
        <w:rPr>
          <w:rFonts w:ascii="Times New Roman" w:hAnsi="Times New Roman"/>
        </w:rPr>
        <w:t xml:space="preserve">, </w:t>
      </w:r>
      <w:r>
        <w:rPr>
          <w:rFonts w:ascii="Times New Roman" w:hAnsi="Times New Roman"/>
          <w:smallCaps/>
        </w:rPr>
        <w:t>U.S. C</w:t>
      </w:r>
      <w:r w:rsidRPr="00005FC0">
        <w:rPr>
          <w:rFonts w:ascii="Times New Roman" w:hAnsi="Times New Roman"/>
          <w:smallCaps/>
        </w:rPr>
        <w:t xml:space="preserve">onst. </w:t>
      </w:r>
      <w:r w:rsidRPr="00005FC0">
        <w:rPr>
          <w:rFonts w:ascii="Times New Roman" w:hAnsi="Times New Roman"/>
        </w:rPr>
        <w:t>amend. V</w:t>
      </w:r>
      <w:r w:rsidRPr="00005FC0">
        <w:rPr>
          <w:rFonts w:ascii="Times New Roman" w:hAnsi="Times New Roman"/>
          <w:color w:val="222222"/>
          <w:shd w:val="clear" w:color="auto" w:fill="FFFFFF"/>
        </w:rPr>
        <w:t xml:space="preserve">–VII. </w:t>
      </w:r>
    </w:p>
  </w:endnote>
  <w:endnote w:id="2">
    <w:p w14:paraId="2B329390"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smallCaps/>
        </w:rPr>
        <w:t>Leigh Glenn, Victims’ Rights</w:t>
      </w:r>
      <w:r w:rsidRPr="00005FC0">
        <w:rPr>
          <w:rFonts w:ascii="Times New Roman" w:hAnsi="Times New Roman"/>
        </w:rPr>
        <w:t xml:space="preserve"> 4 (ABC-CLIO, Inc., 1st ed. 1997). </w:t>
      </w:r>
    </w:p>
  </w:endnote>
  <w:endnote w:id="3">
    <w:p w14:paraId="4E53C2F2"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Id. </w:t>
      </w:r>
      <w:r w:rsidRPr="00005FC0">
        <w:rPr>
          <w:rFonts w:ascii="Times New Roman" w:hAnsi="Times New Roman"/>
        </w:rPr>
        <w:t>at 13</w:t>
      </w:r>
      <w:r w:rsidRPr="00005FC0">
        <w:rPr>
          <w:rFonts w:ascii="Times New Roman" w:hAnsi="Times New Roman"/>
          <w:color w:val="222222"/>
          <w:shd w:val="clear" w:color="auto" w:fill="FFFFFF"/>
        </w:rPr>
        <w:t xml:space="preserve">–17. </w:t>
      </w:r>
    </w:p>
  </w:endnote>
  <w:endnote w:id="4">
    <w:p w14:paraId="7E6A8A43" w14:textId="77777777" w:rsidR="006A1FA9" w:rsidRPr="00005FC0" w:rsidRDefault="006A1FA9" w:rsidP="009737A8">
      <w:pPr>
        <w:pStyle w:val="EndnoteText"/>
        <w:spacing w:line="480" w:lineRule="auto"/>
        <w:rPr>
          <w:rFonts w:ascii="Times New Roman" w:hAnsi="Times New Roman"/>
          <w:i/>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Id. </w:t>
      </w:r>
    </w:p>
  </w:endnote>
  <w:endnote w:id="5">
    <w:p w14:paraId="58473010"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smallCaps/>
        </w:rPr>
        <w:t>Exec. Office of the President, President’s Task Force on Victims of</w:t>
      </w:r>
      <w:r w:rsidRPr="00005FC0">
        <w:rPr>
          <w:rFonts w:ascii="Times New Roman" w:hAnsi="Times New Roman"/>
        </w:rPr>
        <w:t xml:space="preserve"> </w:t>
      </w:r>
      <w:r w:rsidRPr="00005FC0">
        <w:rPr>
          <w:rFonts w:ascii="Times New Roman" w:hAnsi="Times New Roman"/>
          <w:smallCaps/>
        </w:rPr>
        <w:t>Crime</w:t>
      </w:r>
      <w:r w:rsidRPr="00005FC0">
        <w:rPr>
          <w:rFonts w:ascii="Times New Roman" w:hAnsi="Times New Roman"/>
        </w:rPr>
        <w:t xml:space="preserve"> at ii (1982). </w:t>
      </w:r>
    </w:p>
  </w:endnote>
  <w:endnote w:id="6">
    <w:p w14:paraId="3E0BBC3D" w14:textId="77777777" w:rsidR="006A1FA9" w:rsidRPr="00005FC0" w:rsidRDefault="006A1FA9" w:rsidP="009737A8">
      <w:pPr>
        <w:pStyle w:val="EndnoteText"/>
        <w:spacing w:line="480" w:lineRule="auto"/>
        <w:rPr>
          <w:rFonts w:ascii="Times New Roman" w:hAnsi="Times New Roman"/>
          <w:i/>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Id. </w:t>
      </w:r>
    </w:p>
  </w:endnote>
  <w:endnote w:id="7">
    <w:p w14:paraId="36871D8E" w14:textId="77777777" w:rsidR="006A1FA9" w:rsidRPr="00005FC0" w:rsidRDefault="006A1FA9" w:rsidP="006B00C4">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2015 </w:t>
      </w:r>
      <w:r w:rsidRPr="00005FC0">
        <w:rPr>
          <w:rFonts w:ascii="Times New Roman" w:hAnsi="Times New Roman"/>
          <w:smallCaps/>
        </w:rPr>
        <w:t>Conn. Acts.</w:t>
      </w:r>
      <w:r>
        <w:rPr>
          <w:rFonts w:ascii="Times New Roman" w:hAnsi="Times New Roman"/>
        </w:rPr>
        <w:t xml:space="preserve"> 589 (S</w:t>
      </w:r>
      <w:r w:rsidRPr="00005FC0">
        <w:rPr>
          <w:rFonts w:ascii="Times New Roman" w:hAnsi="Times New Roman"/>
        </w:rPr>
        <w:t xml:space="preserve">pec. Sess.). </w:t>
      </w:r>
    </w:p>
  </w:endnote>
  <w:endnote w:id="8">
    <w:p w14:paraId="08F9CF24" w14:textId="2C09F2B4" w:rsidR="006A1FA9" w:rsidRPr="00005FC0" w:rsidRDefault="006A1FA9" w:rsidP="006B00C4">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LA. Act No. 261 (2013) </w:t>
      </w:r>
      <w:r w:rsidRPr="002D0367">
        <w:rPr>
          <w:rFonts w:ascii="Times New Roman" w:hAnsi="Times New Roman"/>
        </w:rPr>
        <w:t>http://www.legis.state.la.us/Legis/ViewDocument.aspx?d=858693</w:t>
      </w:r>
      <w:r w:rsidRPr="00005FC0">
        <w:rPr>
          <w:rFonts w:ascii="Times New Roman" w:hAnsi="Times New Roman"/>
        </w:rPr>
        <w:t xml:space="preserve">.  </w:t>
      </w:r>
    </w:p>
  </w:endnote>
  <w:endnote w:id="9">
    <w:p w14:paraId="655B779D" w14:textId="77777777" w:rsidR="006A1FA9" w:rsidRPr="00005FC0" w:rsidRDefault="006A1FA9" w:rsidP="006B00C4">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smallCaps/>
        </w:rPr>
        <w:t>ME. Rev. Stat. Ann.</w:t>
      </w:r>
      <w:r w:rsidRPr="00005FC0">
        <w:rPr>
          <w:rFonts w:ascii="Times New Roman" w:hAnsi="Times New Roman"/>
        </w:rPr>
        <w:t xml:space="preserve"> tit. 17-A, § 1175-A (2016). </w:t>
      </w:r>
    </w:p>
  </w:endnote>
  <w:endnote w:id="10">
    <w:p w14:paraId="78E6D8D3" w14:textId="3B165B5B" w:rsidR="006A1FA9" w:rsidRPr="00005FC0" w:rsidRDefault="006A1FA9" w:rsidP="006B00C4">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Susan Keilitz, </w:t>
      </w:r>
      <w:r w:rsidRPr="00005FC0">
        <w:rPr>
          <w:rFonts w:ascii="Times New Roman" w:hAnsi="Times New Roman"/>
          <w:i/>
        </w:rPr>
        <w:t>Addressing Victims’ Rights in Pretrial Justice Reform</w:t>
      </w:r>
      <w:r w:rsidRPr="00005FC0">
        <w:rPr>
          <w:rFonts w:ascii="Times New Roman" w:hAnsi="Times New Roman"/>
        </w:rPr>
        <w:t>, 1 (Pretrial Justice Center for Courts Brief,</w:t>
      </w:r>
      <w:r w:rsidRPr="00005FC0">
        <w:rPr>
          <w:rFonts w:ascii="Times New Roman" w:hAnsi="Times New Roman"/>
          <w:smallCaps/>
        </w:rPr>
        <w:t xml:space="preserve"> 2016),</w:t>
      </w:r>
      <w:r w:rsidRPr="00005FC0">
        <w:rPr>
          <w:rFonts w:ascii="Times New Roman" w:hAnsi="Times New Roman"/>
        </w:rPr>
        <w:t xml:space="preserve"> </w:t>
      </w:r>
      <w:r w:rsidRPr="002D0367">
        <w:rPr>
          <w:rFonts w:ascii="Times New Roman" w:hAnsi="Times New Roman"/>
        </w:rPr>
        <w:t>http://www.ncsc.org/~/media/Microsites/Files/PJCC/Pretrial%20victims%20issues%20brief%20Final.ashx</w:t>
      </w:r>
      <w:r w:rsidRPr="00005FC0">
        <w:rPr>
          <w:rFonts w:ascii="Times New Roman" w:hAnsi="Times New Roman"/>
        </w:rPr>
        <w:t xml:space="preserve">. </w:t>
      </w:r>
    </w:p>
  </w:endnote>
  <w:endnote w:id="11">
    <w:p w14:paraId="4B48E271" w14:textId="77777777" w:rsidR="006A1FA9" w:rsidRPr="00005FC0" w:rsidRDefault="006A1FA9" w:rsidP="006B00C4">
      <w:pPr>
        <w:pStyle w:val="EndnoteText"/>
        <w:spacing w:line="480" w:lineRule="auto"/>
        <w:rPr>
          <w:rFonts w:ascii="Times New Roman" w:hAnsi="Times New Roman"/>
          <w:i/>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Id.</w:t>
      </w:r>
      <w:r w:rsidRPr="00005FC0">
        <w:rPr>
          <w:rFonts w:ascii="Times New Roman" w:hAnsi="Times New Roman"/>
        </w:rPr>
        <w:t xml:space="preserve"> at 2. </w:t>
      </w:r>
      <w:r w:rsidRPr="00005FC0">
        <w:rPr>
          <w:rFonts w:ascii="Times New Roman" w:hAnsi="Times New Roman"/>
          <w:i/>
        </w:rPr>
        <w:t xml:space="preserve"> </w:t>
      </w:r>
    </w:p>
  </w:endnote>
  <w:endnote w:id="12">
    <w:p w14:paraId="5512D95F" w14:textId="28B8E051"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smallCaps/>
        </w:rPr>
        <w:t>Title IX Investigations - 2012 Legal Issues in Higher Education</w:t>
      </w:r>
      <w:r w:rsidRPr="00005FC0">
        <w:rPr>
          <w:rFonts w:ascii="Times New Roman" w:hAnsi="Times New Roman"/>
        </w:rPr>
        <w:t xml:space="preserve"> (slide 26), </w:t>
      </w:r>
      <w:r w:rsidRPr="002D0367">
        <w:rPr>
          <w:rFonts w:ascii="Times New Roman" w:hAnsi="Times New Roman"/>
        </w:rPr>
        <w:t>http://www.slideshare.net/margolishealy/mha-title-ix-investigations-2012-legal-issues-in-higher-education</w:t>
      </w:r>
      <w:r w:rsidRPr="00005FC0">
        <w:rPr>
          <w:rFonts w:ascii="Times New Roman" w:hAnsi="Times New Roman"/>
        </w:rPr>
        <w:t xml:space="preserve"> (last visited Oct. 13, 2016).</w:t>
      </w:r>
    </w:p>
  </w:endnote>
  <w:endnote w:id="13">
    <w:p w14:paraId="4F2A0414" w14:textId="675240A5"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smallCaps/>
        </w:rPr>
        <w:t>Human Rights Watch, Improving Police Response to Sexual Assault</w:t>
      </w:r>
      <w:r w:rsidRPr="00005FC0">
        <w:rPr>
          <w:rFonts w:ascii="Times New Roman" w:hAnsi="Times New Roman"/>
        </w:rPr>
        <w:t xml:space="preserve"> p. 3</w:t>
      </w:r>
      <w:r w:rsidRPr="00005FC0">
        <w:rPr>
          <w:rFonts w:ascii="Times New Roman" w:hAnsi="Times New Roman"/>
          <w:color w:val="222222"/>
          <w:shd w:val="clear" w:color="auto" w:fill="FFFFFF"/>
        </w:rPr>
        <w:t xml:space="preserve">–16 (2013), </w:t>
      </w:r>
      <w:r w:rsidRPr="002D0367">
        <w:rPr>
          <w:rFonts w:ascii="Times New Roman" w:hAnsi="Times New Roman"/>
          <w:shd w:val="clear" w:color="auto" w:fill="FFFFFF"/>
        </w:rPr>
        <w:t>https://www.hrw.org/sites/default/files/reports/improvingSAInvest_0.pdf</w:t>
      </w:r>
      <w:r w:rsidRPr="00005FC0">
        <w:rPr>
          <w:rFonts w:ascii="Times New Roman" w:hAnsi="Times New Roman"/>
          <w:color w:val="222222"/>
          <w:shd w:val="clear" w:color="auto" w:fill="FFFFFF"/>
        </w:rPr>
        <w:t xml:space="preserve">. </w:t>
      </w:r>
    </w:p>
  </w:endnote>
  <w:endnote w:id="14">
    <w:p w14:paraId="19EB42B1" w14:textId="77777777" w:rsidR="006A1FA9" w:rsidRPr="00005FC0" w:rsidRDefault="006A1FA9" w:rsidP="009737A8">
      <w:pPr>
        <w:spacing w:line="480" w:lineRule="auto"/>
        <w:rPr>
          <w:rFonts w:ascii="Times New Roman" w:eastAsia="Times New Roman" w:hAnsi="Times New Roman"/>
        </w:rPr>
      </w:pPr>
      <w:r w:rsidRPr="00005FC0">
        <w:rPr>
          <w:rStyle w:val="EndnoteReference"/>
          <w:rFonts w:ascii="Times New Roman" w:hAnsi="Times New Roman"/>
        </w:rPr>
        <w:endnoteRef/>
      </w:r>
      <w:r w:rsidRPr="00005FC0">
        <w:rPr>
          <w:rFonts w:ascii="Times New Roman" w:hAnsi="Times New Roman"/>
        </w:rPr>
        <w:t xml:space="preserve"> Douglas E. Beloof, </w:t>
      </w:r>
      <w:r w:rsidRPr="00005FC0">
        <w:rPr>
          <w:rFonts w:ascii="Times New Roman" w:hAnsi="Times New Roman"/>
          <w:i/>
        </w:rPr>
        <w:t>The Third Wave of Crime Victims’ Rights: Standing, Remedy, and Review</w:t>
      </w:r>
      <w:r w:rsidRPr="00005FC0">
        <w:rPr>
          <w:rFonts w:ascii="Times New Roman" w:hAnsi="Times New Roman"/>
        </w:rPr>
        <w:t xml:space="preserve">, 255 </w:t>
      </w:r>
      <w:r w:rsidRPr="00005FC0">
        <w:rPr>
          <w:rFonts w:ascii="Times New Roman" w:hAnsi="Times New Roman"/>
          <w:smallCaps/>
        </w:rPr>
        <w:t>B.Y.U. L. Rev.</w:t>
      </w:r>
      <w:r w:rsidRPr="00005FC0">
        <w:rPr>
          <w:rFonts w:ascii="Times New Roman" w:hAnsi="Times New Roman"/>
        </w:rPr>
        <w:t xml:space="preserve"> 255, 343 (2005). </w:t>
      </w:r>
    </w:p>
  </w:endnote>
  <w:endnote w:id="15">
    <w:p w14:paraId="716A4874"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hAnsi="Times New Roman"/>
          <w:color w:val="171E24"/>
          <w:shd w:val="clear" w:color="auto" w:fill="FFFFFF"/>
        </w:rPr>
        <w:t xml:space="preserve">18 U.S.C. § 3771(a) (2016). </w:t>
      </w:r>
    </w:p>
  </w:endnote>
  <w:endnote w:id="16">
    <w:p w14:paraId="156A8746"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hAnsi="Times New Roman"/>
          <w:color w:val="171E24"/>
          <w:shd w:val="clear" w:color="auto" w:fill="FFFFFF"/>
        </w:rPr>
        <w:t>18 U.S.C. § 3771(b) (2016).</w:t>
      </w:r>
    </w:p>
  </w:endnote>
  <w:endnote w:id="17">
    <w:p w14:paraId="32D44918"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hAnsi="Times New Roman"/>
          <w:color w:val="171E24"/>
          <w:shd w:val="clear" w:color="auto" w:fill="FFFFFF"/>
        </w:rPr>
        <w:t>18 U.S.C. § 3771(c) (2016).</w:t>
      </w:r>
    </w:p>
  </w:endnote>
  <w:endnote w:id="18">
    <w:p w14:paraId="1504EE32"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hAnsi="Times New Roman"/>
          <w:color w:val="171E24"/>
          <w:shd w:val="clear" w:color="auto" w:fill="FFFFFF"/>
        </w:rPr>
        <w:t>18 U.S.C. § 3771(f) (2016).</w:t>
      </w:r>
    </w:p>
  </w:endnote>
  <w:endnote w:id="19">
    <w:p w14:paraId="7932AAC9"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hAnsi="Times New Roman"/>
          <w:color w:val="171E24"/>
          <w:shd w:val="clear" w:color="auto" w:fill="FFFFFF"/>
        </w:rPr>
        <w:t>18 U.S.C. § 3771(f)(2)(C)</w:t>
      </w:r>
      <w:r w:rsidRPr="00005FC0">
        <w:rPr>
          <w:rFonts w:ascii="Times New Roman" w:hAnsi="Times New Roman"/>
          <w:color w:val="222222"/>
          <w:shd w:val="clear" w:color="auto" w:fill="FFFFFF"/>
        </w:rPr>
        <w:t>–(D)</w:t>
      </w:r>
      <w:r w:rsidRPr="00005FC0">
        <w:rPr>
          <w:rFonts w:ascii="Times New Roman" w:hAnsi="Times New Roman"/>
          <w:color w:val="171E24"/>
          <w:shd w:val="clear" w:color="auto" w:fill="FFFFFF"/>
        </w:rPr>
        <w:t xml:space="preserve"> (2016).</w:t>
      </w:r>
    </w:p>
  </w:endnote>
  <w:endnote w:id="20">
    <w:p w14:paraId="27CECAD2"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150</w:t>
      </w:r>
      <w:r w:rsidRPr="00005FC0">
        <w:rPr>
          <w:rFonts w:ascii="Times New Roman" w:hAnsi="Times New Roman"/>
          <w:smallCaps/>
        </w:rPr>
        <w:t xml:space="preserve"> Cong. Rec. </w:t>
      </w:r>
      <w:r w:rsidRPr="00005FC0">
        <w:rPr>
          <w:rFonts w:ascii="Times New Roman" w:hAnsi="Times New Roman"/>
        </w:rPr>
        <w:t>S4262 (daily ed. Apr. 22, 2004) (statement of Sen. Feinstein).</w:t>
      </w:r>
    </w:p>
  </w:endnote>
  <w:endnote w:id="21">
    <w:p w14:paraId="4347A00C"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color w:val="171E24"/>
          <w:shd w:val="clear" w:color="auto" w:fill="FFFFFF"/>
        </w:rPr>
        <w:t>18 U.S.C. § 3771(e) (2016).</w:t>
      </w:r>
    </w:p>
  </w:endnote>
  <w:endnote w:id="22">
    <w:p w14:paraId="2DD3CA52" w14:textId="77777777" w:rsidR="006A1FA9" w:rsidRPr="00005FC0" w:rsidRDefault="006A1FA9" w:rsidP="009737A8">
      <w:pPr>
        <w:spacing w:line="480" w:lineRule="auto"/>
        <w:rPr>
          <w:rFonts w:ascii="Times New Roman" w:eastAsia="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eastAsia="Times New Roman" w:hAnsi="Times New Roman"/>
          <w:smallCaps/>
        </w:rPr>
        <w:t>Fed. R. Crim. P.</w:t>
      </w:r>
      <w:r w:rsidRPr="00005FC0">
        <w:rPr>
          <w:rFonts w:ascii="Times New Roman" w:eastAsia="Times New Roman" w:hAnsi="Times New Roman"/>
        </w:rPr>
        <w:t xml:space="preserve"> 1 (“‘Victim’ means a ‘crime victim’ as defined in 18 U.S.C. § 3771(e).”). </w:t>
      </w:r>
    </w:p>
  </w:endnote>
  <w:endnote w:id="23">
    <w:p w14:paraId="31057D16" w14:textId="77777777" w:rsidR="006A1FA9" w:rsidRPr="00005FC0" w:rsidRDefault="006A1FA9" w:rsidP="009737A8">
      <w:pPr>
        <w:pStyle w:val="EndnoteText"/>
        <w:spacing w:line="480" w:lineRule="auto"/>
        <w:rPr>
          <w:rFonts w:ascii="Times New Roman" w:hAnsi="Times New Roman"/>
          <w:i/>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eastAsia="Times New Roman" w:hAnsi="Times New Roman"/>
          <w:smallCaps/>
        </w:rPr>
        <w:t>Fed. R. Crim. P.</w:t>
      </w:r>
      <w:r w:rsidRPr="00005FC0">
        <w:rPr>
          <w:rFonts w:ascii="Times New Roman" w:eastAsia="Times New Roman" w:hAnsi="Times New Roman"/>
        </w:rPr>
        <w:t xml:space="preserve"> 12.1. </w:t>
      </w:r>
    </w:p>
  </w:endnote>
  <w:endnote w:id="24">
    <w:p w14:paraId="3A9C91E7"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eastAsia="Times New Roman" w:hAnsi="Times New Roman"/>
          <w:smallCaps/>
        </w:rPr>
        <w:t>Fed. R. Crim. P.</w:t>
      </w:r>
      <w:r w:rsidRPr="00005FC0">
        <w:rPr>
          <w:rFonts w:ascii="Times New Roman" w:eastAsia="Times New Roman" w:hAnsi="Times New Roman"/>
        </w:rPr>
        <w:t xml:space="preserve"> 17. </w:t>
      </w:r>
    </w:p>
  </w:endnote>
  <w:endnote w:id="25">
    <w:p w14:paraId="23962DC0"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eastAsia="Times New Roman" w:hAnsi="Times New Roman"/>
          <w:smallCaps/>
        </w:rPr>
        <w:t>Fed. R. Crim. P.</w:t>
      </w:r>
      <w:r w:rsidRPr="00005FC0">
        <w:rPr>
          <w:rFonts w:ascii="Times New Roman" w:eastAsia="Times New Roman" w:hAnsi="Times New Roman"/>
        </w:rPr>
        <w:t xml:space="preserve"> 18. </w:t>
      </w:r>
    </w:p>
  </w:endnote>
  <w:endnote w:id="26">
    <w:p w14:paraId="5365E8A1"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eastAsia="Times New Roman" w:hAnsi="Times New Roman"/>
          <w:smallCaps/>
        </w:rPr>
        <w:t>Fed. R. Crim. P.</w:t>
      </w:r>
      <w:r w:rsidRPr="00005FC0">
        <w:rPr>
          <w:rFonts w:ascii="Times New Roman" w:eastAsia="Times New Roman" w:hAnsi="Times New Roman"/>
        </w:rPr>
        <w:t xml:space="preserve"> 60. </w:t>
      </w:r>
    </w:p>
  </w:endnote>
  <w:endnote w:id="27">
    <w:p w14:paraId="079A4614" w14:textId="77777777" w:rsidR="006A1FA9" w:rsidRPr="00005FC0" w:rsidRDefault="006A1FA9" w:rsidP="009737A8">
      <w:pPr>
        <w:pStyle w:val="EndnoteText"/>
        <w:spacing w:line="480" w:lineRule="auto"/>
        <w:rPr>
          <w:rFonts w:ascii="Times New Roman" w:hAnsi="Times New Roman"/>
          <w:i/>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Id. </w:t>
      </w:r>
    </w:p>
  </w:endnote>
  <w:endnote w:id="28">
    <w:p w14:paraId="447F1BB9"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150</w:t>
      </w:r>
      <w:r w:rsidRPr="00005FC0">
        <w:rPr>
          <w:rFonts w:ascii="Times New Roman" w:hAnsi="Times New Roman"/>
          <w:smallCaps/>
        </w:rPr>
        <w:t xml:space="preserve"> Cong. Rec. </w:t>
      </w:r>
      <w:r w:rsidRPr="00005FC0">
        <w:rPr>
          <w:rFonts w:ascii="Times New Roman" w:hAnsi="Times New Roman"/>
        </w:rPr>
        <w:t>S4269 (daily ed. Apr. 22, 2004) (statement of Sen. Feinstein).</w:t>
      </w:r>
    </w:p>
  </w:endnote>
  <w:endnote w:id="29">
    <w:p w14:paraId="5B57535C"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hAnsi="Times New Roman"/>
          <w:color w:val="171E24"/>
          <w:shd w:val="clear" w:color="auto" w:fill="FFFFFF"/>
        </w:rPr>
        <w:t>18 U.S.C. § 3771(d)(1) (2016).</w:t>
      </w:r>
    </w:p>
  </w:endnote>
  <w:endnote w:id="30">
    <w:p w14:paraId="4025D161"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Id. </w:t>
      </w:r>
    </w:p>
  </w:endnote>
  <w:endnote w:id="31">
    <w:p w14:paraId="05DE51BB"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i/>
        </w:rPr>
        <w:t xml:space="preserve">See </w:t>
      </w:r>
      <w:r w:rsidRPr="00005FC0">
        <w:rPr>
          <w:rFonts w:ascii="Times New Roman" w:hAnsi="Times New Roman"/>
          <w:color w:val="171E24"/>
          <w:shd w:val="clear" w:color="auto" w:fill="FFFFFF"/>
        </w:rPr>
        <w:t>18 U.S.C. § 3771(d)(3) (2016).</w:t>
      </w:r>
    </w:p>
  </w:endnote>
  <w:endnote w:id="32">
    <w:p w14:paraId="3CF21E18" w14:textId="77777777" w:rsidR="006A1FA9" w:rsidRPr="00005FC0" w:rsidRDefault="006A1FA9" w:rsidP="009737A8">
      <w:pPr>
        <w:spacing w:line="480" w:lineRule="auto"/>
        <w:rPr>
          <w:rFonts w:ascii="Times New Roman" w:eastAsia="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eastAsia="Times New Roman" w:hAnsi="Times New Roman"/>
        </w:rPr>
        <w:t xml:space="preserve">David E. Aaronson, </w:t>
      </w:r>
      <w:r w:rsidRPr="00005FC0">
        <w:rPr>
          <w:rFonts w:ascii="Times New Roman" w:eastAsia="Times New Roman" w:hAnsi="Times New Roman"/>
          <w:i/>
        </w:rPr>
        <w:t>New Rights and Remedies: The Federal Crime Victims' Rights Act of 2004</w:t>
      </w:r>
      <w:r w:rsidRPr="00005FC0">
        <w:rPr>
          <w:rFonts w:ascii="Times New Roman" w:eastAsia="Times New Roman" w:hAnsi="Times New Roman"/>
        </w:rPr>
        <w:t xml:space="preserve">, 28 </w:t>
      </w:r>
      <w:r w:rsidRPr="00005FC0">
        <w:rPr>
          <w:rFonts w:ascii="Times New Roman" w:eastAsia="Times New Roman" w:hAnsi="Times New Roman"/>
          <w:smallCaps/>
        </w:rPr>
        <w:t>Pace L. Rev.</w:t>
      </w:r>
      <w:r w:rsidRPr="00005FC0">
        <w:rPr>
          <w:rFonts w:ascii="Times New Roman" w:eastAsia="Times New Roman" w:hAnsi="Times New Roman"/>
        </w:rPr>
        <w:t xml:space="preserve"> 623, 649 (2008) (citing United States v. Degenhardt, 405 F. Supp. 2d 1341 (D. Utah 2005)). </w:t>
      </w:r>
      <w:r w:rsidRPr="00005FC0">
        <w:rPr>
          <w:rFonts w:ascii="Times New Roman" w:eastAsia="Times New Roman" w:hAnsi="Times New Roman"/>
          <w:i/>
        </w:rPr>
        <w:t xml:space="preserve">See also </w:t>
      </w:r>
      <w:r w:rsidRPr="00005FC0">
        <w:rPr>
          <w:rFonts w:ascii="Times New Roman" w:eastAsia="Times New Roman" w:hAnsi="Times New Roman"/>
        </w:rPr>
        <w:t xml:space="preserve">United States v. Degenhardt, 405 F. Supp. 2d 1341, 1345 (D. Utah 2005) (“The CVRA gives crime victims the right to be ‘reasonably heard’ at sentencing. One possible interpretation of this phrase is that victims have a right to be heard via a </w:t>
      </w:r>
      <w:r w:rsidRPr="00005FC0">
        <w:rPr>
          <w:rFonts w:ascii="Times New Roman" w:eastAsia="Times New Roman" w:hAnsi="Times New Roman"/>
          <w:i/>
          <w:iCs/>
        </w:rPr>
        <w:t>written</w:t>
      </w:r>
      <w:r w:rsidRPr="00005FC0">
        <w:rPr>
          <w:rFonts w:ascii="Times New Roman" w:eastAsia="Times New Roman" w:hAnsi="Times New Roman"/>
        </w:rPr>
        <w:t xml:space="preserve"> submission to the court, such as a victim impact form. Such an interpretation would rely on the fact that, in some other contexts, courts have construed a right ‘to be heard’ as mandating no more than an opportunity to be heard in writing. Such a construction, however, would defy the intentions of the CVRA's drafters, ignore the fact that defendants and prosecutors make oral statements at sentencing, and disregard the rationales underlying victim allocution. For all these reasons, the court concludes that the CVRA gives victims the right to speak directly to the judge at sentencing.”). </w:t>
      </w:r>
    </w:p>
  </w:endnote>
  <w:endnote w:id="33">
    <w:p w14:paraId="2F794A2C" w14:textId="77777777" w:rsidR="006A1FA9" w:rsidRPr="00005FC0" w:rsidRDefault="006A1FA9" w:rsidP="009737A8">
      <w:pPr>
        <w:spacing w:line="480" w:lineRule="auto"/>
        <w:rPr>
          <w:rFonts w:ascii="Times New Roman" w:eastAsia="Times New Roman" w:hAnsi="Times New Roman"/>
          <w:i/>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eastAsia="Times New Roman" w:hAnsi="Times New Roman"/>
        </w:rPr>
        <w:t xml:space="preserve">David E. Aaronson, </w:t>
      </w:r>
      <w:r w:rsidRPr="00005FC0">
        <w:rPr>
          <w:rFonts w:ascii="Times New Roman" w:eastAsia="Times New Roman" w:hAnsi="Times New Roman"/>
          <w:i/>
        </w:rPr>
        <w:t>New Rights and Remedies: The Federal Crime Victims' Rights Act of 2004</w:t>
      </w:r>
      <w:r w:rsidRPr="00005FC0">
        <w:rPr>
          <w:rFonts w:ascii="Times New Roman" w:eastAsia="Times New Roman" w:hAnsi="Times New Roman"/>
        </w:rPr>
        <w:t xml:space="preserve">, 28 </w:t>
      </w:r>
      <w:r w:rsidRPr="00005FC0">
        <w:rPr>
          <w:rFonts w:ascii="Times New Roman" w:eastAsia="Times New Roman" w:hAnsi="Times New Roman"/>
          <w:smallCaps/>
        </w:rPr>
        <w:t>Pace L. Rev.</w:t>
      </w:r>
      <w:r w:rsidRPr="00005FC0">
        <w:rPr>
          <w:rFonts w:ascii="Times New Roman" w:eastAsia="Times New Roman" w:hAnsi="Times New Roman"/>
        </w:rPr>
        <w:t xml:space="preserve"> 623, 649 (2008) (citing United States v. Marcello, 370 F. Supp. 2d 745 (N.D. Ill. 2005)). </w:t>
      </w:r>
      <w:r w:rsidRPr="00005FC0">
        <w:rPr>
          <w:rFonts w:ascii="Times New Roman" w:eastAsia="Times New Roman" w:hAnsi="Times New Roman"/>
          <w:i/>
        </w:rPr>
        <w:t xml:space="preserve">See also </w:t>
      </w:r>
      <w:r w:rsidRPr="00005FC0">
        <w:rPr>
          <w:rFonts w:ascii="Times New Roman" w:eastAsia="Times New Roman" w:hAnsi="Times New Roman"/>
        </w:rPr>
        <w:t xml:space="preserve">United States v. Marcello, 370 F. Supp. 2d 745, 748 (N.D. Ill. 2005) (“The statute clearly and unambiguously grants crime victims the right to be reasonably heard. The plain language of the statute does not mandate oral presentation of the victim's statement. While the word ‘heard’ does imply oral presentation in ordinary English, it does not have that meaning in courts where it is a term of art.”). </w:t>
      </w:r>
    </w:p>
  </w:endnote>
  <w:endnote w:id="34">
    <w:p w14:paraId="5B1F5073" w14:textId="77777777" w:rsidR="006A1FA9" w:rsidRPr="00005FC0" w:rsidRDefault="006A1FA9" w:rsidP="009737A8">
      <w:pPr>
        <w:pStyle w:val="EndnoteText"/>
        <w:spacing w:line="480" w:lineRule="auto"/>
        <w:rPr>
          <w:rFonts w:ascii="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hAnsi="Times New Roman"/>
          <w:color w:val="171E24"/>
          <w:shd w:val="clear" w:color="auto" w:fill="FFFFFF"/>
        </w:rPr>
        <w:t>18 U.S.C. § 3771(d)(6) (2016).</w:t>
      </w:r>
    </w:p>
  </w:endnote>
  <w:endnote w:id="35">
    <w:p w14:paraId="5B5E3D24" w14:textId="77777777" w:rsidR="006A1FA9" w:rsidRPr="00005FC0" w:rsidRDefault="006A1FA9" w:rsidP="009737A8">
      <w:pPr>
        <w:spacing w:line="480" w:lineRule="auto"/>
        <w:rPr>
          <w:rFonts w:ascii="Times New Roman" w:eastAsia="Times New Roman" w:hAnsi="Times New Roman"/>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eastAsia="Times New Roman" w:hAnsi="Times New Roman"/>
        </w:rPr>
        <w:t xml:space="preserve">David E. Aaronson, </w:t>
      </w:r>
      <w:r w:rsidRPr="00005FC0">
        <w:rPr>
          <w:rFonts w:ascii="Times New Roman" w:eastAsia="Times New Roman" w:hAnsi="Times New Roman"/>
          <w:i/>
        </w:rPr>
        <w:t>New Rights and Remedies: The Federal Crime Victims' Rights Act of 2004</w:t>
      </w:r>
      <w:r w:rsidRPr="00005FC0">
        <w:rPr>
          <w:rFonts w:ascii="Times New Roman" w:eastAsia="Times New Roman" w:hAnsi="Times New Roman"/>
        </w:rPr>
        <w:t xml:space="preserve">, 28 </w:t>
      </w:r>
      <w:r w:rsidRPr="00005FC0">
        <w:rPr>
          <w:rFonts w:ascii="Times New Roman" w:eastAsia="Times New Roman" w:hAnsi="Times New Roman"/>
          <w:smallCaps/>
        </w:rPr>
        <w:t>Pace L. Rev.</w:t>
      </w:r>
      <w:r w:rsidRPr="00005FC0">
        <w:rPr>
          <w:rFonts w:ascii="Times New Roman" w:eastAsia="Times New Roman" w:hAnsi="Times New Roman"/>
        </w:rPr>
        <w:t xml:space="preserve"> 623, 672 (2008). </w:t>
      </w:r>
    </w:p>
  </w:endnote>
  <w:endnote w:id="36">
    <w:p w14:paraId="495C8776" w14:textId="77777777" w:rsidR="006A1FA9" w:rsidRPr="00B02F96" w:rsidRDefault="006A1FA9" w:rsidP="009737A8">
      <w:pPr>
        <w:spacing w:line="480" w:lineRule="auto"/>
        <w:rPr>
          <w:rFonts w:ascii="Times New Roman" w:eastAsia="Times New Roman" w:hAnsi="Times New Roman"/>
          <w:i/>
        </w:rPr>
      </w:pPr>
      <w:r w:rsidRPr="00005FC0">
        <w:rPr>
          <w:rStyle w:val="EndnoteReference"/>
          <w:rFonts w:ascii="Times New Roman" w:hAnsi="Times New Roman"/>
        </w:rPr>
        <w:endnoteRef/>
      </w:r>
      <w:r w:rsidRPr="00005FC0">
        <w:rPr>
          <w:rFonts w:ascii="Times New Roman" w:hAnsi="Times New Roman"/>
        </w:rPr>
        <w:t xml:space="preserve"> </w:t>
      </w:r>
      <w:r w:rsidRPr="00005FC0">
        <w:rPr>
          <w:rFonts w:ascii="Times New Roman" w:eastAsia="Times New Roman" w:hAnsi="Times New Roman"/>
          <w:i/>
        </w:rPr>
        <w:t xml:space="preserve">Id. </w:t>
      </w:r>
    </w:p>
  </w:endnote>
  <w:endnote w:id="37">
    <w:p w14:paraId="22B1E030" w14:textId="7F8999C2" w:rsidR="006A1FA9" w:rsidRPr="009737A8" w:rsidRDefault="006A1FA9" w:rsidP="007B2D43">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Most Victims Know Their Attacker</w:t>
      </w:r>
      <w:r w:rsidRPr="009737A8">
        <w:rPr>
          <w:rFonts w:ascii="Times New Roman" w:hAnsi="Times New Roman"/>
        </w:rPr>
        <w:t>, N</w:t>
      </w:r>
      <w:r w:rsidRPr="009737A8">
        <w:rPr>
          <w:rFonts w:ascii="Times New Roman" w:hAnsi="Times New Roman"/>
          <w:smallCaps/>
        </w:rPr>
        <w:t xml:space="preserve">ational Institute of Justice, </w:t>
      </w:r>
      <w:r w:rsidRPr="009737A8">
        <w:rPr>
          <w:rFonts w:ascii="Times New Roman" w:hAnsi="Times New Roman"/>
        </w:rPr>
        <w:t>http://www.nij.gov/topics/crime/rape-sexual-violence/campus/pages/know-attacker.aspx (last visited Oct. 13, 2016).</w:t>
      </w:r>
    </w:p>
  </w:endnote>
  <w:endnote w:id="38">
    <w:p w14:paraId="787C50E5" w14:textId="7655BEC6"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Organized Crime Control Act of 1970, Pub. L. No. 91-452, 84 Stat. 922 (1970).</w:t>
      </w:r>
    </w:p>
  </w:endnote>
  <w:endnote w:id="39">
    <w:p w14:paraId="7F216782" w14:textId="09185CA1" w:rsidR="006A1FA9" w:rsidRPr="009737A8" w:rsidRDefault="006A1FA9" w:rsidP="00645DCD">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Michael N. Glanz, </w:t>
      </w:r>
      <w:r w:rsidRPr="009737A8">
        <w:rPr>
          <w:rFonts w:ascii="Times New Roman" w:hAnsi="Times New Roman"/>
          <w:i/>
        </w:rPr>
        <w:t>RICO and Securities Fraud: A Workable Limitation</w:t>
      </w:r>
      <w:r w:rsidRPr="009737A8">
        <w:rPr>
          <w:rFonts w:ascii="Times New Roman" w:hAnsi="Times New Roman"/>
        </w:rPr>
        <w:t>, 83 C</w:t>
      </w:r>
      <w:r w:rsidRPr="009737A8">
        <w:rPr>
          <w:rFonts w:ascii="Times New Roman" w:hAnsi="Times New Roman"/>
          <w:smallCaps/>
        </w:rPr>
        <w:t>olumbia</w:t>
      </w:r>
      <w:r w:rsidRPr="009737A8">
        <w:rPr>
          <w:rFonts w:ascii="Times New Roman" w:hAnsi="Times New Roman"/>
        </w:rPr>
        <w:t xml:space="preserve"> L. R</w:t>
      </w:r>
      <w:r w:rsidRPr="009737A8">
        <w:rPr>
          <w:rFonts w:ascii="Times New Roman" w:hAnsi="Times New Roman"/>
          <w:smallCaps/>
        </w:rPr>
        <w:t>ev 1513, 1513–14 (1983).</w:t>
      </w:r>
    </w:p>
  </w:endnote>
  <w:endnote w:id="40">
    <w:p w14:paraId="543858ED" w14:textId="7EFA9670"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18 U.S.C. § 3521 (2006).</w:t>
      </w:r>
    </w:p>
  </w:endnote>
  <w:endnote w:id="41">
    <w:p w14:paraId="10B86021" w14:textId="430C4563"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Witness Security Program</w:t>
      </w:r>
      <w:r w:rsidRPr="009737A8">
        <w:rPr>
          <w:rFonts w:ascii="Times New Roman" w:hAnsi="Times New Roman"/>
        </w:rPr>
        <w:t>, U</w:t>
      </w:r>
      <w:r w:rsidRPr="009737A8">
        <w:rPr>
          <w:rFonts w:ascii="Times New Roman" w:hAnsi="Times New Roman"/>
          <w:smallCaps/>
        </w:rPr>
        <w:t>nited States Marshals Service</w:t>
      </w:r>
      <w:r w:rsidRPr="009737A8">
        <w:rPr>
          <w:rFonts w:ascii="Times New Roman" w:hAnsi="Times New Roman"/>
        </w:rPr>
        <w:t>, https://www.usmarshals.gov/witsec/index.html (last visited Oct. 13, 2016).</w:t>
      </w:r>
    </w:p>
  </w:endnote>
  <w:endnote w:id="42">
    <w:p w14:paraId="64015987" w14:textId="157445CC" w:rsidR="006A1FA9" w:rsidRPr="009737A8" w:rsidRDefault="006A1FA9" w:rsidP="00645DCD">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Id.</w:t>
      </w:r>
    </w:p>
  </w:endnote>
  <w:endnote w:id="43">
    <w:p w14:paraId="0C4C9846" w14:textId="444C1F38"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California Witness Relocation and Assistance Program</w:t>
      </w:r>
      <w:r w:rsidRPr="009737A8">
        <w:rPr>
          <w:rFonts w:ascii="Times New Roman" w:hAnsi="Times New Roman"/>
        </w:rPr>
        <w:t>,</w:t>
      </w:r>
      <w:r w:rsidRPr="009737A8">
        <w:rPr>
          <w:rFonts w:ascii="Times New Roman" w:hAnsi="Times New Roman"/>
          <w:i/>
        </w:rPr>
        <w:t xml:space="preserve"> </w:t>
      </w:r>
      <w:r w:rsidRPr="009737A8">
        <w:rPr>
          <w:rFonts w:ascii="Times New Roman" w:hAnsi="Times New Roman"/>
          <w:smallCaps/>
        </w:rPr>
        <w:t xml:space="preserve">State of California Department of Justice: Office of the Attorney General, </w:t>
      </w:r>
      <w:r w:rsidRPr="009737A8">
        <w:rPr>
          <w:rFonts w:ascii="Times New Roman" w:hAnsi="Times New Roman"/>
        </w:rPr>
        <w:t>https://oag.ca.gov/witness-protection</w:t>
      </w:r>
      <w:r>
        <w:rPr>
          <w:rFonts w:ascii="Times New Roman" w:hAnsi="Times New Roman"/>
        </w:rPr>
        <w:t xml:space="preserve"> (last visit</w:t>
      </w:r>
      <w:r w:rsidRPr="009737A8">
        <w:rPr>
          <w:rFonts w:ascii="Times New Roman" w:hAnsi="Times New Roman"/>
        </w:rPr>
        <w:t>ed Oct. 13, 2016).</w:t>
      </w:r>
    </w:p>
  </w:endnote>
  <w:endnote w:id="44">
    <w:p w14:paraId="717A7770" w14:textId="1BA85787" w:rsidR="006A1FA9" w:rsidRPr="009737A8" w:rsidRDefault="006A1FA9" w:rsidP="007B2D43">
      <w:pPr>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Victim and Witness Protection Act of 1982, Pub. L. No. 97-291, 96 Stat. 1248 (1982).</w:t>
      </w:r>
    </w:p>
  </w:endnote>
  <w:endnote w:id="45">
    <w:p w14:paraId="024504DE" w14:textId="64F4BA92"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Victim-Witness Program</w:t>
      </w:r>
      <w:r w:rsidRPr="009737A8">
        <w:rPr>
          <w:rFonts w:ascii="Times New Roman" w:hAnsi="Times New Roman"/>
        </w:rPr>
        <w:t>, U</w:t>
      </w:r>
      <w:r w:rsidRPr="009737A8">
        <w:rPr>
          <w:rFonts w:ascii="Times New Roman" w:hAnsi="Times New Roman"/>
          <w:smallCaps/>
        </w:rPr>
        <w:t>nited States Attorney’s Office: Western District of Washington</w:t>
      </w:r>
      <w:r w:rsidRPr="009737A8">
        <w:rPr>
          <w:rFonts w:ascii="Times New Roman" w:hAnsi="Times New Roman"/>
        </w:rPr>
        <w:t>, https://www.justice.gov/usao-wdwa/victim-witness (last visited Oct. 13, 2016).</w:t>
      </w:r>
    </w:p>
  </w:endnote>
  <w:endnote w:id="46">
    <w:p w14:paraId="2CD871D2" w14:textId="77777777"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Douglas J. Kepple, </w:t>
      </w:r>
      <w:r w:rsidRPr="009737A8">
        <w:rPr>
          <w:rFonts w:ascii="Times New Roman" w:hAnsi="Times New Roman"/>
          <w:i/>
        </w:rPr>
        <w:t>The Victim and Witness Protection Act of 1982: Retroactive Application for Continuing Crimes</w:t>
      </w:r>
      <w:r w:rsidRPr="009737A8">
        <w:rPr>
          <w:rFonts w:ascii="Times New Roman" w:hAnsi="Times New Roman"/>
        </w:rPr>
        <w:t>, 58 F</w:t>
      </w:r>
      <w:r w:rsidRPr="009737A8">
        <w:rPr>
          <w:rFonts w:ascii="Times New Roman" w:hAnsi="Times New Roman"/>
          <w:smallCaps/>
        </w:rPr>
        <w:t>ordham</w:t>
      </w:r>
      <w:r w:rsidRPr="009737A8">
        <w:rPr>
          <w:rFonts w:ascii="Times New Roman" w:hAnsi="Times New Roman"/>
        </w:rPr>
        <w:t xml:space="preserve"> L. R</w:t>
      </w:r>
      <w:r w:rsidRPr="009737A8">
        <w:rPr>
          <w:rFonts w:ascii="Times New Roman" w:hAnsi="Times New Roman"/>
          <w:smallCaps/>
        </w:rPr>
        <w:t>ev</w:t>
      </w:r>
      <w:r w:rsidRPr="009737A8">
        <w:rPr>
          <w:rFonts w:ascii="Times New Roman" w:hAnsi="Times New Roman"/>
        </w:rPr>
        <w:t>. 87, 89 (1989).</w:t>
      </w:r>
    </w:p>
  </w:endnote>
  <w:endnote w:id="47">
    <w:p w14:paraId="06934F79" w14:textId="66A50751"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Id.</w:t>
      </w:r>
      <w:r w:rsidRPr="009737A8">
        <w:rPr>
          <w:rFonts w:ascii="Times New Roman" w:hAnsi="Times New Roman"/>
        </w:rPr>
        <w:t xml:space="preserve"> at 89–90; </w:t>
      </w:r>
      <w:r w:rsidRPr="009737A8">
        <w:rPr>
          <w:rFonts w:ascii="Times New Roman" w:hAnsi="Times New Roman"/>
          <w:i/>
        </w:rPr>
        <w:t>see</w:t>
      </w:r>
      <w:r w:rsidRPr="009737A8">
        <w:rPr>
          <w:rFonts w:ascii="Times New Roman" w:hAnsi="Times New Roman"/>
        </w:rPr>
        <w:t xml:space="preserve"> 18 U.S.C. § 1512(a)–(k) (2008).</w:t>
      </w:r>
    </w:p>
  </w:endnote>
  <w:endnote w:id="48">
    <w:p w14:paraId="5C5C98B1" w14:textId="77777777"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Restitution</w:t>
      </w:r>
      <w:r w:rsidRPr="009737A8">
        <w:rPr>
          <w:rFonts w:ascii="Times New Roman" w:hAnsi="Times New Roman"/>
        </w:rPr>
        <w:t>,</w:t>
      </w:r>
      <w:r w:rsidRPr="009737A8">
        <w:rPr>
          <w:rFonts w:ascii="Times New Roman" w:hAnsi="Times New Roman"/>
          <w:i/>
        </w:rPr>
        <w:t xml:space="preserve"> </w:t>
      </w:r>
      <w:r w:rsidRPr="009737A8">
        <w:rPr>
          <w:rFonts w:ascii="Times New Roman" w:hAnsi="Times New Roman"/>
          <w:smallCaps/>
        </w:rPr>
        <w:t>Black’s Law Dictionary</w:t>
      </w:r>
      <w:r w:rsidRPr="009737A8">
        <w:rPr>
          <w:rFonts w:ascii="Times New Roman" w:hAnsi="Times New Roman"/>
        </w:rPr>
        <w:t xml:space="preserve"> (10th ed. 2014).</w:t>
      </w:r>
    </w:p>
  </w:endnote>
  <w:endnote w:id="49">
    <w:p w14:paraId="675A9FEE" w14:textId="77777777"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Id.</w:t>
      </w:r>
      <w:r w:rsidRPr="009737A8">
        <w:rPr>
          <w:rFonts w:ascii="Times New Roman" w:hAnsi="Times New Roman"/>
        </w:rPr>
        <w:t xml:space="preserve"> at 91.</w:t>
      </w:r>
    </w:p>
  </w:endnote>
  <w:endnote w:id="50">
    <w:p w14:paraId="1AB6614D" w14:textId="77777777"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Matthew Dickman, </w:t>
      </w:r>
      <w:r w:rsidRPr="009737A8">
        <w:rPr>
          <w:rFonts w:ascii="Times New Roman" w:hAnsi="Times New Roman"/>
          <w:i/>
        </w:rPr>
        <w:t>Should Crime Pay?: A Critical Assessment of the Mandatory Victims Restitution Act of 1996</w:t>
      </w:r>
      <w:r w:rsidRPr="009737A8">
        <w:rPr>
          <w:rFonts w:ascii="Times New Roman" w:hAnsi="Times New Roman"/>
        </w:rPr>
        <w:t>, 97 C</w:t>
      </w:r>
      <w:r w:rsidRPr="009737A8">
        <w:rPr>
          <w:rFonts w:ascii="Times New Roman" w:hAnsi="Times New Roman"/>
          <w:smallCaps/>
        </w:rPr>
        <w:t>al.</w:t>
      </w:r>
      <w:r w:rsidRPr="009737A8">
        <w:rPr>
          <w:rFonts w:ascii="Times New Roman" w:hAnsi="Times New Roman"/>
        </w:rPr>
        <w:t xml:space="preserve"> L. R</w:t>
      </w:r>
      <w:r w:rsidRPr="009737A8">
        <w:rPr>
          <w:rFonts w:ascii="Times New Roman" w:hAnsi="Times New Roman"/>
          <w:smallCaps/>
        </w:rPr>
        <w:t xml:space="preserve">ev </w:t>
      </w:r>
      <w:r w:rsidRPr="009737A8">
        <w:rPr>
          <w:rFonts w:ascii="Times New Roman" w:hAnsi="Times New Roman"/>
        </w:rPr>
        <w:t>1687, 1687 (2009).</w:t>
      </w:r>
    </w:p>
  </w:endnote>
  <w:endnote w:id="51">
    <w:p w14:paraId="61BF99C4" w14:textId="61B1C4CF"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See</w:t>
      </w:r>
      <w:r w:rsidRPr="009737A8">
        <w:rPr>
          <w:rFonts w:ascii="Times New Roman" w:hAnsi="Times New Roman"/>
        </w:rPr>
        <w:t xml:space="preserve"> Kepple, </w:t>
      </w:r>
      <w:r w:rsidRPr="009737A8">
        <w:rPr>
          <w:rFonts w:ascii="Times New Roman" w:hAnsi="Times New Roman"/>
          <w:i/>
        </w:rPr>
        <w:t>supra</w:t>
      </w:r>
      <w:r w:rsidRPr="009737A8">
        <w:rPr>
          <w:rFonts w:ascii="Times New Roman" w:hAnsi="Times New Roman"/>
        </w:rPr>
        <w:t xml:space="preserve"> note </w:t>
      </w:r>
      <w:r w:rsidR="000A7632">
        <w:rPr>
          <w:rFonts w:ascii="Times New Roman" w:hAnsi="Times New Roman"/>
        </w:rPr>
        <w:t>46</w:t>
      </w:r>
      <w:r w:rsidRPr="009737A8">
        <w:rPr>
          <w:rFonts w:ascii="Times New Roman" w:hAnsi="Times New Roman"/>
        </w:rPr>
        <w:t>, at 89.</w:t>
      </w:r>
    </w:p>
  </w:endnote>
  <w:endnote w:id="52">
    <w:p w14:paraId="0E7AE965" w14:textId="4946974C"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See</w:t>
      </w:r>
      <w:r w:rsidRPr="009737A8">
        <w:rPr>
          <w:rFonts w:ascii="Times New Roman" w:hAnsi="Times New Roman"/>
        </w:rPr>
        <w:t xml:space="preserve"> Dickman, </w:t>
      </w:r>
      <w:r w:rsidRPr="009737A8">
        <w:rPr>
          <w:rFonts w:ascii="Times New Roman" w:hAnsi="Times New Roman"/>
          <w:i/>
        </w:rPr>
        <w:t>supra</w:t>
      </w:r>
      <w:r w:rsidRPr="009737A8">
        <w:rPr>
          <w:rFonts w:ascii="Times New Roman" w:hAnsi="Times New Roman"/>
        </w:rPr>
        <w:t xml:space="preserve"> note </w:t>
      </w:r>
      <w:r w:rsidR="000A7632">
        <w:rPr>
          <w:rFonts w:ascii="Times New Roman" w:hAnsi="Times New Roman"/>
        </w:rPr>
        <w:t>50</w:t>
      </w:r>
      <w:r w:rsidRPr="009737A8">
        <w:rPr>
          <w:rFonts w:ascii="Times New Roman" w:hAnsi="Times New Roman"/>
        </w:rPr>
        <w:t>, at 1688.</w:t>
      </w:r>
    </w:p>
  </w:endnote>
  <w:endnote w:id="53">
    <w:p w14:paraId="1C587E77" w14:textId="5C7CD2F4"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 xml:space="preserve">See </w:t>
      </w:r>
      <w:r w:rsidRPr="009737A8">
        <w:rPr>
          <w:rFonts w:ascii="Times New Roman" w:hAnsi="Times New Roman"/>
        </w:rPr>
        <w:t xml:space="preserve">Dickman, </w:t>
      </w:r>
      <w:r w:rsidRPr="009737A8">
        <w:rPr>
          <w:rFonts w:ascii="Times New Roman" w:hAnsi="Times New Roman"/>
          <w:i/>
        </w:rPr>
        <w:t>supra</w:t>
      </w:r>
      <w:r w:rsidRPr="009737A8">
        <w:rPr>
          <w:rFonts w:ascii="Times New Roman" w:hAnsi="Times New Roman"/>
        </w:rPr>
        <w:t xml:space="preserve"> note </w:t>
      </w:r>
      <w:r w:rsidR="000A7632">
        <w:rPr>
          <w:rFonts w:ascii="Times New Roman" w:hAnsi="Times New Roman"/>
        </w:rPr>
        <w:t>50</w:t>
      </w:r>
      <w:r w:rsidRPr="009737A8">
        <w:rPr>
          <w:rFonts w:ascii="Times New Roman" w:hAnsi="Times New Roman"/>
        </w:rPr>
        <w:t>, at 1688.</w:t>
      </w:r>
    </w:p>
  </w:endnote>
  <w:endnote w:id="54">
    <w:p w14:paraId="09F86C9B" w14:textId="48745AD7"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 xml:space="preserve">See </w:t>
      </w:r>
      <w:r w:rsidRPr="009737A8">
        <w:rPr>
          <w:rFonts w:ascii="Times New Roman" w:hAnsi="Times New Roman"/>
        </w:rPr>
        <w:t xml:space="preserve">Dickman, </w:t>
      </w:r>
      <w:r w:rsidRPr="009737A8">
        <w:rPr>
          <w:rFonts w:ascii="Times New Roman" w:hAnsi="Times New Roman"/>
          <w:i/>
        </w:rPr>
        <w:t>supra</w:t>
      </w:r>
      <w:r w:rsidRPr="009737A8">
        <w:rPr>
          <w:rFonts w:ascii="Times New Roman" w:hAnsi="Times New Roman"/>
        </w:rPr>
        <w:t xml:space="preserve"> note </w:t>
      </w:r>
      <w:r w:rsidR="000A7632">
        <w:rPr>
          <w:rFonts w:ascii="Times New Roman" w:hAnsi="Times New Roman"/>
        </w:rPr>
        <w:t>50</w:t>
      </w:r>
      <w:r w:rsidRPr="009737A8">
        <w:rPr>
          <w:rFonts w:ascii="Times New Roman" w:hAnsi="Times New Roman"/>
        </w:rPr>
        <w:t>, at 1689.</w:t>
      </w:r>
    </w:p>
  </w:endnote>
  <w:endnote w:id="55">
    <w:p w14:paraId="1A6B33D4" w14:textId="1DCB6B18" w:rsidR="006A1FA9" w:rsidRPr="009737A8" w:rsidRDefault="006A1FA9" w:rsidP="0066400A">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Dickman, </w:t>
      </w:r>
      <w:r w:rsidRPr="009737A8">
        <w:rPr>
          <w:rFonts w:ascii="Times New Roman" w:hAnsi="Times New Roman"/>
          <w:i/>
        </w:rPr>
        <w:t>supra</w:t>
      </w:r>
      <w:r w:rsidRPr="009737A8">
        <w:rPr>
          <w:rFonts w:ascii="Times New Roman" w:hAnsi="Times New Roman"/>
        </w:rPr>
        <w:t xml:space="preserve"> note </w:t>
      </w:r>
      <w:r w:rsidR="000A7632">
        <w:rPr>
          <w:rFonts w:ascii="Times New Roman" w:hAnsi="Times New Roman"/>
        </w:rPr>
        <w:t>50</w:t>
      </w:r>
      <w:r w:rsidRPr="009737A8">
        <w:rPr>
          <w:rFonts w:ascii="Times New Roman" w:hAnsi="Times New Roman"/>
        </w:rPr>
        <w:t>, at 1689.</w:t>
      </w:r>
    </w:p>
  </w:endnote>
  <w:endnote w:id="56">
    <w:p w14:paraId="1DB0045D" w14:textId="77777777" w:rsidR="006A1FA9" w:rsidRPr="009737A8" w:rsidRDefault="006A1FA9" w:rsidP="00171CF4">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w:t>
      </w:r>
      <w:r w:rsidRPr="009737A8">
        <w:rPr>
          <w:rFonts w:ascii="Times New Roman" w:hAnsi="Times New Roman"/>
          <w:i/>
        </w:rPr>
        <w:t xml:space="preserve">See </w:t>
      </w:r>
      <w:r w:rsidRPr="009737A8">
        <w:rPr>
          <w:rFonts w:ascii="Times New Roman" w:hAnsi="Times New Roman"/>
        </w:rPr>
        <w:t>United States v. Mounts, 793 F.2d 125, 128 (6th Cir. 1986) (“While a defendant’s ability to pay is a consideration in the determination of restitution . . . indigency is not a bar to an order of restitution.”) (internal citation omitted).</w:t>
      </w:r>
    </w:p>
  </w:endnote>
  <w:endnote w:id="57">
    <w:p w14:paraId="04A42E0B" w14:textId="43F243D8" w:rsidR="006A1FA9" w:rsidRPr="009737A8" w:rsidRDefault="006A1FA9" w:rsidP="002B5EA0">
      <w:pPr>
        <w:pStyle w:val="EndnoteText"/>
        <w:spacing w:line="480" w:lineRule="auto"/>
        <w:rPr>
          <w:rFonts w:ascii="Times New Roman" w:hAnsi="Times New Roman"/>
        </w:rPr>
      </w:pPr>
      <w:r w:rsidRPr="009737A8">
        <w:rPr>
          <w:rStyle w:val="EndnoteReference"/>
          <w:rFonts w:ascii="Times New Roman" w:hAnsi="Times New Roman"/>
        </w:rPr>
        <w:endnoteRef/>
      </w:r>
      <w:r w:rsidRPr="009737A8">
        <w:rPr>
          <w:rFonts w:ascii="Times New Roman" w:hAnsi="Times New Roman"/>
        </w:rPr>
        <w:t xml:space="preserve"> Dickman, </w:t>
      </w:r>
      <w:r w:rsidRPr="009737A8">
        <w:rPr>
          <w:rFonts w:ascii="Times New Roman" w:hAnsi="Times New Roman"/>
          <w:i/>
        </w:rPr>
        <w:t>supra</w:t>
      </w:r>
      <w:r w:rsidRPr="009737A8">
        <w:rPr>
          <w:rFonts w:ascii="Times New Roman" w:hAnsi="Times New Roman"/>
        </w:rPr>
        <w:t xml:space="preserve"> note </w:t>
      </w:r>
      <w:r w:rsidR="000A7632">
        <w:rPr>
          <w:rFonts w:ascii="Times New Roman" w:hAnsi="Times New Roman"/>
        </w:rPr>
        <w:t>50</w:t>
      </w:r>
      <w:r w:rsidRPr="009737A8">
        <w:rPr>
          <w:rFonts w:ascii="Times New Roman" w:hAnsi="Times New Roman"/>
        </w:rPr>
        <w:t>, at 1688.</w:t>
      </w:r>
    </w:p>
  </w:endnote>
  <w:endnote w:id="58">
    <w:p w14:paraId="307A6AA3" w14:textId="77777777" w:rsidR="00BA3088" w:rsidRDefault="00BA3088" w:rsidP="00BA3088">
      <w:pPr>
        <w:spacing w:line="480" w:lineRule="auto"/>
      </w:pPr>
      <w:r>
        <w:rPr>
          <w:rStyle w:val="EndnoteReference"/>
        </w:rPr>
        <w:endnoteRef/>
      </w:r>
      <w:r>
        <w:t xml:space="preserve"> </w:t>
      </w:r>
      <w:r w:rsidRPr="00B02F96">
        <w:rPr>
          <w:rFonts w:ascii="Times New Roman" w:hAnsi="Times New Roman"/>
          <w:smallCaps/>
        </w:rPr>
        <w:t>Minnesota Department of Public Safety, Crime Victim Rights</w:t>
      </w:r>
      <w:r w:rsidRPr="00B02F96">
        <w:rPr>
          <w:rFonts w:ascii="Times New Roman" w:hAnsi="Times New Roman"/>
        </w:rPr>
        <w:t xml:space="preserve"> (2016), </w:t>
      </w:r>
      <w:r w:rsidRPr="002D0367">
        <w:rPr>
          <w:rFonts w:ascii="Times New Roman" w:hAnsi="Times New Roman"/>
        </w:rPr>
        <w:t>https://dps.mn.gov/divisions/ojp/forms-documents/Documents/Crime%20Victim%20Rights%20-%20English.pdf</w:t>
      </w:r>
      <w:r w:rsidRPr="00B02F96">
        <w:rPr>
          <w:rFonts w:ascii="Times New Roman" w:hAnsi="Times New Roman"/>
        </w:rPr>
        <w:t>.</w:t>
      </w:r>
      <w:r>
        <w:t xml:space="preserve"> </w:t>
      </w:r>
    </w:p>
  </w:endnote>
  <w:endnote w:id="59">
    <w:p w14:paraId="1D237720" w14:textId="2F9D2A03" w:rsidR="006A1FA9" w:rsidRPr="002B5EA0" w:rsidRDefault="006A1FA9" w:rsidP="002B5EA0">
      <w:pPr>
        <w:pStyle w:val="EndnoteText"/>
        <w:spacing w:line="480" w:lineRule="auto"/>
        <w:rPr>
          <w:rFonts w:ascii="Times New Roman" w:hAnsi="Times New Roman"/>
        </w:rPr>
      </w:pPr>
      <w:r w:rsidRPr="002B5EA0">
        <w:rPr>
          <w:rStyle w:val="EndnoteReference"/>
          <w:rFonts w:ascii="Times New Roman" w:hAnsi="Times New Roman"/>
        </w:rPr>
        <w:endnoteRef/>
      </w:r>
      <w:r w:rsidRPr="002B5EA0">
        <w:rPr>
          <w:rFonts w:ascii="Times New Roman" w:hAnsi="Times New Roman"/>
        </w:rPr>
        <w:t xml:space="preserve"> </w:t>
      </w:r>
      <w:r w:rsidR="00D23CFE">
        <w:rPr>
          <w:rFonts w:ascii="Times New Roman" w:hAnsi="Times New Roman"/>
          <w:i/>
        </w:rPr>
        <w:t>Department of Justice Expands Services for Crime Victims</w:t>
      </w:r>
      <w:r w:rsidR="00D23CFE" w:rsidRPr="009737A8">
        <w:rPr>
          <w:rFonts w:ascii="Times New Roman" w:hAnsi="Times New Roman"/>
        </w:rPr>
        <w:t>, U</w:t>
      </w:r>
      <w:r w:rsidR="00D23CFE">
        <w:rPr>
          <w:rFonts w:ascii="Times New Roman" w:hAnsi="Times New Roman"/>
          <w:smallCaps/>
        </w:rPr>
        <w:t>nited States Department of Justice</w:t>
      </w:r>
      <w:r w:rsidR="00D23CFE" w:rsidRPr="009737A8">
        <w:rPr>
          <w:rFonts w:ascii="Times New Roman" w:hAnsi="Times New Roman"/>
        </w:rPr>
        <w:t xml:space="preserve">, </w:t>
      </w:r>
      <w:r w:rsidR="00D23CFE" w:rsidRPr="00D23CFE">
        <w:rPr>
          <w:rFonts w:ascii="Times New Roman" w:hAnsi="Times New Roman"/>
        </w:rPr>
        <w:t xml:space="preserve">https://www.justice.gov/opa/pr/department-justice-expands-services-crime-victims </w:t>
      </w:r>
      <w:r w:rsidR="00D23CFE" w:rsidRPr="009737A8">
        <w:rPr>
          <w:rFonts w:ascii="Times New Roman" w:hAnsi="Times New Roman"/>
        </w:rPr>
        <w:t>(last visited Oct. 13, 2016)</w:t>
      </w:r>
      <w:r w:rsidR="00D23CFE">
        <w:rPr>
          <w:rFonts w:ascii="Times New Roman" w:hAnsi="Times New Roman"/>
        </w:rPr>
        <w:t xml:space="preserve"> (noting that Congress has raised the appropriation level of the Crime Victims Fund from $745 million in 2014 to more than $3 billion in 2016)</w:t>
      </w:r>
      <w:r w:rsidR="00D23CFE" w:rsidRPr="009737A8">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F24D" w14:textId="77777777" w:rsidR="00CE3AD1" w:rsidRDefault="00CE3AD1" w:rsidP="00E22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8C960" w14:textId="77777777" w:rsidR="00CE3AD1" w:rsidRDefault="00CE3A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4580" w14:textId="77777777" w:rsidR="00CE3AD1" w:rsidRPr="00CE3AD1" w:rsidRDefault="00CE3AD1" w:rsidP="00E22D17">
    <w:pPr>
      <w:pStyle w:val="Footer"/>
      <w:framePr w:wrap="around" w:vAnchor="text" w:hAnchor="margin" w:xAlign="center" w:y="1"/>
      <w:rPr>
        <w:rStyle w:val="PageNumber"/>
        <w:rFonts w:ascii="Times New Roman" w:hAnsi="Times New Roman"/>
      </w:rPr>
    </w:pPr>
    <w:r w:rsidRPr="00CE3AD1">
      <w:rPr>
        <w:rStyle w:val="PageNumber"/>
        <w:rFonts w:ascii="Times New Roman" w:hAnsi="Times New Roman"/>
      </w:rPr>
      <w:fldChar w:fldCharType="begin"/>
    </w:r>
    <w:r w:rsidRPr="00CE3AD1">
      <w:rPr>
        <w:rStyle w:val="PageNumber"/>
        <w:rFonts w:ascii="Times New Roman" w:hAnsi="Times New Roman"/>
      </w:rPr>
      <w:instrText xml:space="preserve">PAGE  </w:instrText>
    </w:r>
    <w:r w:rsidRPr="00CE3AD1">
      <w:rPr>
        <w:rStyle w:val="PageNumber"/>
        <w:rFonts w:ascii="Times New Roman" w:hAnsi="Times New Roman"/>
      </w:rPr>
      <w:fldChar w:fldCharType="separate"/>
    </w:r>
    <w:r w:rsidR="00851C81">
      <w:rPr>
        <w:rStyle w:val="PageNumber"/>
        <w:rFonts w:ascii="Times New Roman" w:hAnsi="Times New Roman"/>
        <w:noProof/>
      </w:rPr>
      <w:t>1</w:t>
    </w:r>
    <w:r w:rsidRPr="00CE3AD1">
      <w:rPr>
        <w:rStyle w:val="PageNumber"/>
        <w:rFonts w:ascii="Times New Roman" w:hAnsi="Times New Roman"/>
      </w:rPr>
      <w:fldChar w:fldCharType="end"/>
    </w:r>
  </w:p>
  <w:p w14:paraId="3BF543E0" w14:textId="77777777" w:rsidR="00CE3AD1" w:rsidRPr="00CE3AD1" w:rsidRDefault="00CE3AD1" w:rsidP="00CE3AD1">
    <w:pPr>
      <w:pStyle w:val="Footer"/>
      <w:jc w:val="cen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9D5D1" w14:textId="77777777" w:rsidR="006A1FA9" w:rsidRDefault="006A1FA9" w:rsidP="00171CF4">
      <w:r>
        <w:separator/>
      </w:r>
    </w:p>
  </w:footnote>
  <w:footnote w:type="continuationSeparator" w:id="0">
    <w:p w14:paraId="690C865B" w14:textId="77777777" w:rsidR="006A1FA9" w:rsidRDefault="006A1FA9" w:rsidP="00171C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C69"/>
    <w:multiLevelType w:val="hybridMultilevel"/>
    <w:tmpl w:val="5E80B0BA"/>
    <w:lvl w:ilvl="0" w:tplc="43C66D9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291D64"/>
    <w:multiLevelType w:val="hybridMultilevel"/>
    <w:tmpl w:val="F2206122"/>
    <w:lvl w:ilvl="0" w:tplc="C63C9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A2F15"/>
    <w:multiLevelType w:val="hybridMultilevel"/>
    <w:tmpl w:val="CB90FAB0"/>
    <w:lvl w:ilvl="0" w:tplc="413E4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A00CA"/>
    <w:multiLevelType w:val="hybridMultilevel"/>
    <w:tmpl w:val="612C4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A58EC"/>
    <w:multiLevelType w:val="hybridMultilevel"/>
    <w:tmpl w:val="4A9CD1DA"/>
    <w:lvl w:ilvl="0" w:tplc="43C66D94">
      <w:start w:val="1"/>
      <w:numFmt w:val="bullet"/>
      <w:lvlText w:val="-"/>
      <w:lvlJc w:val="left"/>
      <w:pPr>
        <w:ind w:left="1080" w:hanging="360"/>
      </w:pPr>
      <w:rPr>
        <w:rFonts w:ascii="Times New Roman" w:eastAsia="Times New Roman" w:hAnsi="Times New Roman" w:cs="Times New Roman" w:hint="default"/>
      </w:rPr>
    </w:lvl>
    <w:lvl w:ilvl="1" w:tplc="C90C8F5C">
      <w:numFmt w:val="bullet"/>
      <w:lvlText w:val="-"/>
      <w:lvlJc w:val="left"/>
      <w:pPr>
        <w:ind w:left="1800" w:hanging="360"/>
      </w:pPr>
      <w:rPr>
        <w:rFonts w:ascii="Cambria" w:eastAsiaTheme="minorHAnsi"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thana Perera">
    <w15:presenceInfo w15:providerId="Windows Live" w15:userId="f9175776f6f93c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F4"/>
    <w:rsid w:val="00024767"/>
    <w:rsid w:val="000A7632"/>
    <w:rsid w:val="00171CF4"/>
    <w:rsid w:val="001A0F99"/>
    <w:rsid w:val="001B6D9E"/>
    <w:rsid w:val="002507CF"/>
    <w:rsid w:val="00267C76"/>
    <w:rsid w:val="002B5EA0"/>
    <w:rsid w:val="002D0367"/>
    <w:rsid w:val="00325DB0"/>
    <w:rsid w:val="00336C90"/>
    <w:rsid w:val="00343FCC"/>
    <w:rsid w:val="00360469"/>
    <w:rsid w:val="003701D3"/>
    <w:rsid w:val="004468C3"/>
    <w:rsid w:val="004A6902"/>
    <w:rsid w:val="00542A95"/>
    <w:rsid w:val="005434A9"/>
    <w:rsid w:val="005A13CB"/>
    <w:rsid w:val="00645DCD"/>
    <w:rsid w:val="0066400A"/>
    <w:rsid w:val="006A1FA9"/>
    <w:rsid w:val="006B00C4"/>
    <w:rsid w:val="006B38E4"/>
    <w:rsid w:val="006C26DE"/>
    <w:rsid w:val="006E4C52"/>
    <w:rsid w:val="007648BD"/>
    <w:rsid w:val="007B2D43"/>
    <w:rsid w:val="007E7740"/>
    <w:rsid w:val="00851C81"/>
    <w:rsid w:val="00873515"/>
    <w:rsid w:val="00933CD5"/>
    <w:rsid w:val="00944E32"/>
    <w:rsid w:val="009737A8"/>
    <w:rsid w:val="009E6163"/>
    <w:rsid w:val="009F1406"/>
    <w:rsid w:val="00A77001"/>
    <w:rsid w:val="00AE4460"/>
    <w:rsid w:val="00AE7054"/>
    <w:rsid w:val="00B61DDD"/>
    <w:rsid w:val="00BA3088"/>
    <w:rsid w:val="00BA3CBB"/>
    <w:rsid w:val="00BB7D49"/>
    <w:rsid w:val="00BD5E0C"/>
    <w:rsid w:val="00C173DD"/>
    <w:rsid w:val="00C27AE6"/>
    <w:rsid w:val="00C44190"/>
    <w:rsid w:val="00CD6076"/>
    <w:rsid w:val="00CE3AD1"/>
    <w:rsid w:val="00D23CFE"/>
    <w:rsid w:val="00E75BA9"/>
    <w:rsid w:val="00EE3E0B"/>
    <w:rsid w:val="00F6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64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1212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F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1CF4"/>
    <w:rPr>
      <w:rFonts w:ascii="Times New Roman" w:eastAsiaTheme="minorHAnsi" w:hAnsi="Times New Roman" w:cstheme="minorBidi"/>
      <w:color w:val="auto"/>
    </w:rPr>
  </w:style>
  <w:style w:type="character" w:customStyle="1" w:styleId="FootnoteTextChar">
    <w:name w:val="Footnote Text Char"/>
    <w:basedOn w:val="DefaultParagraphFont"/>
    <w:link w:val="FootnoteText"/>
    <w:uiPriority w:val="99"/>
    <w:rsid w:val="00171CF4"/>
    <w:rPr>
      <w:rFonts w:eastAsiaTheme="minorHAnsi" w:cstheme="minorBidi"/>
      <w:color w:val="auto"/>
    </w:rPr>
  </w:style>
  <w:style w:type="character" w:styleId="FootnoteReference">
    <w:name w:val="footnote reference"/>
    <w:basedOn w:val="DefaultParagraphFont"/>
    <w:uiPriority w:val="99"/>
    <w:unhideWhenUsed/>
    <w:rsid w:val="00171CF4"/>
    <w:rPr>
      <w:vertAlign w:val="superscript"/>
    </w:rPr>
  </w:style>
  <w:style w:type="character" w:styleId="CommentReference">
    <w:name w:val="annotation reference"/>
    <w:basedOn w:val="DefaultParagraphFont"/>
    <w:uiPriority w:val="99"/>
    <w:semiHidden/>
    <w:unhideWhenUsed/>
    <w:rsid w:val="004A6902"/>
    <w:rPr>
      <w:sz w:val="16"/>
      <w:szCs w:val="16"/>
    </w:rPr>
  </w:style>
  <w:style w:type="paragraph" w:styleId="CommentText">
    <w:name w:val="annotation text"/>
    <w:basedOn w:val="Normal"/>
    <w:link w:val="CommentTextChar"/>
    <w:uiPriority w:val="99"/>
    <w:semiHidden/>
    <w:unhideWhenUsed/>
    <w:rsid w:val="004A6902"/>
    <w:rPr>
      <w:sz w:val="20"/>
      <w:szCs w:val="20"/>
    </w:rPr>
  </w:style>
  <w:style w:type="character" w:customStyle="1" w:styleId="CommentTextChar">
    <w:name w:val="Comment Text Char"/>
    <w:basedOn w:val="DefaultParagraphFont"/>
    <w:link w:val="CommentText"/>
    <w:uiPriority w:val="99"/>
    <w:semiHidden/>
    <w:rsid w:val="004A690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A6902"/>
    <w:rPr>
      <w:b/>
      <w:bCs/>
    </w:rPr>
  </w:style>
  <w:style w:type="character" w:customStyle="1" w:styleId="CommentSubjectChar">
    <w:name w:val="Comment Subject Char"/>
    <w:basedOn w:val="CommentTextChar"/>
    <w:link w:val="CommentSubject"/>
    <w:uiPriority w:val="99"/>
    <w:semiHidden/>
    <w:rsid w:val="004A6902"/>
    <w:rPr>
      <w:rFonts w:asciiTheme="minorHAnsi" w:hAnsiTheme="minorHAnsi"/>
      <w:b/>
      <w:bCs/>
      <w:sz w:val="20"/>
      <w:szCs w:val="20"/>
    </w:rPr>
  </w:style>
  <w:style w:type="paragraph" w:styleId="BalloonText">
    <w:name w:val="Balloon Text"/>
    <w:basedOn w:val="Normal"/>
    <w:link w:val="BalloonTextChar"/>
    <w:uiPriority w:val="99"/>
    <w:semiHidden/>
    <w:unhideWhenUsed/>
    <w:rsid w:val="004A6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02"/>
    <w:rPr>
      <w:rFonts w:ascii="Segoe UI" w:hAnsi="Segoe UI" w:cs="Segoe UI"/>
      <w:sz w:val="18"/>
      <w:szCs w:val="18"/>
    </w:rPr>
  </w:style>
  <w:style w:type="character" w:styleId="Hyperlink">
    <w:name w:val="Hyperlink"/>
    <w:basedOn w:val="DefaultParagraphFont"/>
    <w:uiPriority w:val="99"/>
    <w:unhideWhenUsed/>
    <w:rsid w:val="007B2D43"/>
    <w:rPr>
      <w:color w:val="0000FF" w:themeColor="hyperlink"/>
      <w:u w:val="single"/>
    </w:rPr>
  </w:style>
  <w:style w:type="paragraph" w:styleId="EndnoteText">
    <w:name w:val="endnote text"/>
    <w:basedOn w:val="Normal"/>
    <w:link w:val="EndnoteTextChar"/>
    <w:uiPriority w:val="99"/>
    <w:unhideWhenUsed/>
    <w:rsid w:val="007648BD"/>
  </w:style>
  <w:style w:type="character" w:customStyle="1" w:styleId="EndnoteTextChar">
    <w:name w:val="Endnote Text Char"/>
    <w:basedOn w:val="DefaultParagraphFont"/>
    <w:link w:val="EndnoteText"/>
    <w:uiPriority w:val="99"/>
    <w:rsid w:val="007648BD"/>
    <w:rPr>
      <w:rFonts w:asciiTheme="minorHAnsi" w:hAnsiTheme="minorHAnsi"/>
    </w:rPr>
  </w:style>
  <w:style w:type="character" w:styleId="EndnoteReference">
    <w:name w:val="endnote reference"/>
    <w:basedOn w:val="DefaultParagraphFont"/>
    <w:uiPriority w:val="99"/>
    <w:unhideWhenUsed/>
    <w:rsid w:val="007648BD"/>
    <w:rPr>
      <w:vertAlign w:val="superscript"/>
    </w:rPr>
  </w:style>
  <w:style w:type="paragraph" w:styleId="ListParagraph">
    <w:name w:val="List Paragraph"/>
    <w:basedOn w:val="Normal"/>
    <w:uiPriority w:val="34"/>
    <w:qFormat/>
    <w:rsid w:val="006B00C4"/>
    <w:pPr>
      <w:ind w:left="720"/>
      <w:contextualSpacing/>
    </w:pPr>
  </w:style>
  <w:style w:type="paragraph" w:styleId="Header">
    <w:name w:val="header"/>
    <w:basedOn w:val="Normal"/>
    <w:link w:val="HeaderChar"/>
    <w:uiPriority w:val="99"/>
    <w:unhideWhenUsed/>
    <w:rsid w:val="00CE3AD1"/>
    <w:pPr>
      <w:tabs>
        <w:tab w:val="center" w:pos="4320"/>
        <w:tab w:val="right" w:pos="8640"/>
      </w:tabs>
    </w:pPr>
  </w:style>
  <w:style w:type="character" w:customStyle="1" w:styleId="HeaderChar">
    <w:name w:val="Header Char"/>
    <w:basedOn w:val="DefaultParagraphFont"/>
    <w:link w:val="Header"/>
    <w:uiPriority w:val="99"/>
    <w:rsid w:val="00CE3AD1"/>
    <w:rPr>
      <w:rFonts w:asciiTheme="minorHAnsi" w:hAnsiTheme="minorHAnsi"/>
    </w:rPr>
  </w:style>
  <w:style w:type="paragraph" w:styleId="Footer">
    <w:name w:val="footer"/>
    <w:basedOn w:val="Normal"/>
    <w:link w:val="FooterChar"/>
    <w:uiPriority w:val="99"/>
    <w:unhideWhenUsed/>
    <w:rsid w:val="00CE3AD1"/>
    <w:pPr>
      <w:tabs>
        <w:tab w:val="center" w:pos="4320"/>
        <w:tab w:val="right" w:pos="8640"/>
      </w:tabs>
    </w:pPr>
  </w:style>
  <w:style w:type="character" w:customStyle="1" w:styleId="FooterChar">
    <w:name w:val="Footer Char"/>
    <w:basedOn w:val="DefaultParagraphFont"/>
    <w:link w:val="Footer"/>
    <w:uiPriority w:val="99"/>
    <w:rsid w:val="00CE3AD1"/>
    <w:rPr>
      <w:rFonts w:asciiTheme="minorHAnsi" w:hAnsiTheme="minorHAnsi"/>
    </w:rPr>
  </w:style>
  <w:style w:type="character" w:styleId="PageNumber">
    <w:name w:val="page number"/>
    <w:basedOn w:val="DefaultParagraphFont"/>
    <w:uiPriority w:val="99"/>
    <w:semiHidden/>
    <w:unhideWhenUsed/>
    <w:rsid w:val="00CE3A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1212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F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1CF4"/>
    <w:rPr>
      <w:rFonts w:ascii="Times New Roman" w:eastAsiaTheme="minorHAnsi" w:hAnsi="Times New Roman" w:cstheme="minorBidi"/>
      <w:color w:val="auto"/>
    </w:rPr>
  </w:style>
  <w:style w:type="character" w:customStyle="1" w:styleId="FootnoteTextChar">
    <w:name w:val="Footnote Text Char"/>
    <w:basedOn w:val="DefaultParagraphFont"/>
    <w:link w:val="FootnoteText"/>
    <w:uiPriority w:val="99"/>
    <w:rsid w:val="00171CF4"/>
    <w:rPr>
      <w:rFonts w:eastAsiaTheme="minorHAnsi" w:cstheme="minorBidi"/>
      <w:color w:val="auto"/>
    </w:rPr>
  </w:style>
  <w:style w:type="character" w:styleId="FootnoteReference">
    <w:name w:val="footnote reference"/>
    <w:basedOn w:val="DefaultParagraphFont"/>
    <w:uiPriority w:val="99"/>
    <w:unhideWhenUsed/>
    <w:rsid w:val="00171CF4"/>
    <w:rPr>
      <w:vertAlign w:val="superscript"/>
    </w:rPr>
  </w:style>
  <w:style w:type="character" w:styleId="CommentReference">
    <w:name w:val="annotation reference"/>
    <w:basedOn w:val="DefaultParagraphFont"/>
    <w:uiPriority w:val="99"/>
    <w:semiHidden/>
    <w:unhideWhenUsed/>
    <w:rsid w:val="004A6902"/>
    <w:rPr>
      <w:sz w:val="16"/>
      <w:szCs w:val="16"/>
    </w:rPr>
  </w:style>
  <w:style w:type="paragraph" w:styleId="CommentText">
    <w:name w:val="annotation text"/>
    <w:basedOn w:val="Normal"/>
    <w:link w:val="CommentTextChar"/>
    <w:uiPriority w:val="99"/>
    <w:semiHidden/>
    <w:unhideWhenUsed/>
    <w:rsid w:val="004A6902"/>
    <w:rPr>
      <w:sz w:val="20"/>
      <w:szCs w:val="20"/>
    </w:rPr>
  </w:style>
  <w:style w:type="character" w:customStyle="1" w:styleId="CommentTextChar">
    <w:name w:val="Comment Text Char"/>
    <w:basedOn w:val="DefaultParagraphFont"/>
    <w:link w:val="CommentText"/>
    <w:uiPriority w:val="99"/>
    <w:semiHidden/>
    <w:rsid w:val="004A690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A6902"/>
    <w:rPr>
      <w:b/>
      <w:bCs/>
    </w:rPr>
  </w:style>
  <w:style w:type="character" w:customStyle="1" w:styleId="CommentSubjectChar">
    <w:name w:val="Comment Subject Char"/>
    <w:basedOn w:val="CommentTextChar"/>
    <w:link w:val="CommentSubject"/>
    <w:uiPriority w:val="99"/>
    <w:semiHidden/>
    <w:rsid w:val="004A6902"/>
    <w:rPr>
      <w:rFonts w:asciiTheme="minorHAnsi" w:hAnsiTheme="minorHAnsi"/>
      <w:b/>
      <w:bCs/>
      <w:sz w:val="20"/>
      <w:szCs w:val="20"/>
    </w:rPr>
  </w:style>
  <w:style w:type="paragraph" w:styleId="BalloonText">
    <w:name w:val="Balloon Text"/>
    <w:basedOn w:val="Normal"/>
    <w:link w:val="BalloonTextChar"/>
    <w:uiPriority w:val="99"/>
    <w:semiHidden/>
    <w:unhideWhenUsed/>
    <w:rsid w:val="004A6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02"/>
    <w:rPr>
      <w:rFonts w:ascii="Segoe UI" w:hAnsi="Segoe UI" w:cs="Segoe UI"/>
      <w:sz w:val="18"/>
      <w:szCs w:val="18"/>
    </w:rPr>
  </w:style>
  <w:style w:type="character" w:styleId="Hyperlink">
    <w:name w:val="Hyperlink"/>
    <w:basedOn w:val="DefaultParagraphFont"/>
    <w:uiPriority w:val="99"/>
    <w:unhideWhenUsed/>
    <w:rsid w:val="007B2D43"/>
    <w:rPr>
      <w:color w:val="0000FF" w:themeColor="hyperlink"/>
      <w:u w:val="single"/>
    </w:rPr>
  </w:style>
  <w:style w:type="paragraph" w:styleId="EndnoteText">
    <w:name w:val="endnote text"/>
    <w:basedOn w:val="Normal"/>
    <w:link w:val="EndnoteTextChar"/>
    <w:uiPriority w:val="99"/>
    <w:unhideWhenUsed/>
    <w:rsid w:val="007648BD"/>
  </w:style>
  <w:style w:type="character" w:customStyle="1" w:styleId="EndnoteTextChar">
    <w:name w:val="Endnote Text Char"/>
    <w:basedOn w:val="DefaultParagraphFont"/>
    <w:link w:val="EndnoteText"/>
    <w:uiPriority w:val="99"/>
    <w:rsid w:val="007648BD"/>
    <w:rPr>
      <w:rFonts w:asciiTheme="minorHAnsi" w:hAnsiTheme="minorHAnsi"/>
    </w:rPr>
  </w:style>
  <w:style w:type="character" w:styleId="EndnoteReference">
    <w:name w:val="endnote reference"/>
    <w:basedOn w:val="DefaultParagraphFont"/>
    <w:uiPriority w:val="99"/>
    <w:unhideWhenUsed/>
    <w:rsid w:val="007648BD"/>
    <w:rPr>
      <w:vertAlign w:val="superscript"/>
    </w:rPr>
  </w:style>
  <w:style w:type="paragraph" w:styleId="ListParagraph">
    <w:name w:val="List Paragraph"/>
    <w:basedOn w:val="Normal"/>
    <w:uiPriority w:val="34"/>
    <w:qFormat/>
    <w:rsid w:val="006B00C4"/>
    <w:pPr>
      <w:ind w:left="720"/>
      <w:contextualSpacing/>
    </w:pPr>
  </w:style>
  <w:style w:type="paragraph" w:styleId="Header">
    <w:name w:val="header"/>
    <w:basedOn w:val="Normal"/>
    <w:link w:val="HeaderChar"/>
    <w:uiPriority w:val="99"/>
    <w:unhideWhenUsed/>
    <w:rsid w:val="00CE3AD1"/>
    <w:pPr>
      <w:tabs>
        <w:tab w:val="center" w:pos="4320"/>
        <w:tab w:val="right" w:pos="8640"/>
      </w:tabs>
    </w:pPr>
  </w:style>
  <w:style w:type="character" w:customStyle="1" w:styleId="HeaderChar">
    <w:name w:val="Header Char"/>
    <w:basedOn w:val="DefaultParagraphFont"/>
    <w:link w:val="Header"/>
    <w:uiPriority w:val="99"/>
    <w:rsid w:val="00CE3AD1"/>
    <w:rPr>
      <w:rFonts w:asciiTheme="minorHAnsi" w:hAnsiTheme="minorHAnsi"/>
    </w:rPr>
  </w:style>
  <w:style w:type="paragraph" w:styleId="Footer">
    <w:name w:val="footer"/>
    <w:basedOn w:val="Normal"/>
    <w:link w:val="FooterChar"/>
    <w:uiPriority w:val="99"/>
    <w:unhideWhenUsed/>
    <w:rsid w:val="00CE3AD1"/>
    <w:pPr>
      <w:tabs>
        <w:tab w:val="center" w:pos="4320"/>
        <w:tab w:val="right" w:pos="8640"/>
      </w:tabs>
    </w:pPr>
  </w:style>
  <w:style w:type="character" w:customStyle="1" w:styleId="FooterChar">
    <w:name w:val="Footer Char"/>
    <w:basedOn w:val="DefaultParagraphFont"/>
    <w:link w:val="Footer"/>
    <w:uiPriority w:val="99"/>
    <w:rsid w:val="00CE3AD1"/>
    <w:rPr>
      <w:rFonts w:asciiTheme="minorHAnsi" w:hAnsiTheme="minorHAnsi"/>
    </w:rPr>
  </w:style>
  <w:style w:type="character" w:styleId="PageNumber">
    <w:name w:val="page number"/>
    <w:basedOn w:val="DefaultParagraphFont"/>
    <w:uiPriority w:val="99"/>
    <w:semiHidden/>
    <w:unhideWhenUsed/>
    <w:rsid w:val="00CE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3006</Words>
  <Characters>17136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Krahn</dc:creator>
  <cp:keywords/>
  <dc:description/>
  <cp:lastModifiedBy>Jeremy Krahn</cp:lastModifiedBy>
  <cp:revision>25</cp:revision>
  <dcterms:created xsi:type="dcterms:W3CDTF">2016-10-14T05:26:00Z</dcterms:created>
  <dcterms:modified xsi:type="dcterms:W3CDTF">2016-10-18T11:42:00Z</dcterms:modified>
</cp:coreProperties>
</file>